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ECB3" w14:textId="77777777" w:rsidR="006202D3" w:rsidRDefault="006202D3" w:rsidP="006202D3">
      <w:pPr>
        <w:jc w:val="center"/>
      </w:pPr>
      <w:r>
        <w:rPr>
          <w:noProof/>
        </w:rPr>
        <w:drawing>
          <wp:inline distT="0" distB="0" distL="0" distR="0" wp14:anchorId="3B895B6D" wp14:editId="1F8545A2">
            <wp:extent cx="2876550" cy="5646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786" cy="568665"/>
                    </a:xfrm>
                    <a:prstGeom prst="rect">
                      <a:avLst/>
                    </a:prstGeom>
                    <a:noFill/>
                    <a:ln>
                      <a:noFill/>
                    </a:ln>
                  </pic:spPr>
                </pic:pic>
              </a:graphicData>
            </a:graphic>
          </wp:inline>
        </w:drawing>
      </w:r>
    </w:p>
    <w:p w14:paraId="7E05EA2A" w14:textId="77777777" w:rsidR="00577427" w:rsidRPr="00577427" w:rsidRDefault="00577427" w:rsidP="006202D3">
      <w:pPr>
        <w:spacing w:after="0"/>
        <w:contextualSpacing/>
        <w:jc w:val="center"/>
        <w:rPr>
          <w:b/>
          <w:sz w:val="28"/>
          <w:szCs w:val="28"/>
          <w:shd w:val="clear" w:color="auto" w:fill="FFFFFF"/>
        </w:rPr>
      </w:pPr>
    </w:p>
    <w:p w14:paraId="3085508B" w14:textId="440D2B5E" w:rsidR="006202D3" w:rsidRDefault="006202D3" w:rsidP="006202D3">
      <w:pPr>
        <w:spacing w:after="0"/>
        <w:contextualSpacing/>
        <w:jc w:val="center"/>
        <w:rPr>
          <w:b/>
          <w:sz w:val="32"/>
          <w:szCs w:val="32"/>
          <w:shd w:val="clear" w:color="auto" w:fill="FFFFFF"/>
        </w:rPr>
      </w:pPr>
      <w:r w:rsidRPr="007C4963">
        <w:rPr>
          <w:b/>
          <w:sz w:val="32"/>
          <w:szCs w:val="32"/>
          <w:shd w:val="clear" w:color="auto" w:fill="FFFFFF"/>
        </w:rPr>
        <w:t>EDITORIAL BOARD MEMO</w:t>
      </w:r>
    </w:p>
    <w:p w14:paraId="22FAEB85" w14:textId="77777777" w:rsidR="00D6161E" w:rsidRDefault="00D6161E" w:rsidP="00F05FBF">
      <w:pPr>
        <w:spacing w:after="0"/>
        <w:contextualSpacing/>
        <w:rPr>
          <w:shd w:val="clear" w:color="auto" w:fill="FFFFFF"/>
        </w:rPr>
      </w:pPr>
    </w:p>
    <w:p w14:paraId="2808BBE5" w14:textId="77777777" w:rsidR="006202D3" w:rsidRPr="00AF32A1" w:rsidRDefault="006202D3" w:rsidP="00F05FBF">
      <w:pPr>
        <w:spacing w:after="0"/>
        <w:contextualSpacing/>
        <w:rPr>
          <w:shd w:val="clear" w:color="auto" w:fill="FFFFFF"/>
        </w:rPr>
      </w:pPr>
      <w:r w:rsidRPr="00AF32A1">
        <w:rPr>
          <w:shd w:val="clear" w:color="auto" w:fill="FFFFFF"/>
        </w:rPr>
        <w:t>To: Editors and Columnists</w:t>
      </w:r>
      <w:r w:rsidRPr="00AF32A1">
        <w:br/>
      </w:r>
      <w:r w:rsidRPr="00AF32A1">
        <w:rPr>
          <w:shd w:val="clear" w:color="auto" w:fill="FFFFFF"/>
        </w:rPr>
        <w:t>From: Frank Clemente, Executive Director, Americans for Tax Fairness</w:t>
      </w:r>
    </w:p>
    <w:p w14:paraId="721D0247" w14:textId="77777777" w:rsidR="006202D3" w:rsidRPr="00AF32A1" w:rsidRDefault="006202D3" w:rsidP="00F05FBF">
      <w:pPr>
        <w:spacing w:after="0"/>
        <w:contextualSpacing/>
        <w:rPr>
          <w:shd w:val="clear" w:color="auto" w:fill="FFFFFF"/>
        </w:rPr>
      </w:pPr>
      <w:r w:rsidRPr="00AF32A1">
        <w:rPr>
          <w:shd w:val="clear" w:color="auto" w:fill="FFFFFF"/>
        </w:rPr>
        <w:t xml:space="preserve">Media Contact: Ron Eckstein, </w:t>
      </w:r>
      <w:hyperlink r:id="rId9" w:history="1">
        <w:r w:rsidRPr="00AF32A1">
          <w:rPr>
            <w:rStyle w:val="Hyperlink"/>
            <w:shd w:val="clear" w:color="auto" w:fill="FFFFFF"/>
          </w:rPr>
          <w:t>reckstein@AmericansforTaxFairness.org</w:t>
        </w:r>
      </w:hyperlink>
      <w:r w:rsidRPr="00AF32A1">
        <w:rPr>
          <w:shd w:val="clear" w:color="auto" w:fill="FFFFFF"/>
        </w:rPr>
        <w:t xml:space="preserve"> or (202) 454-6198 </w:t>
      </w:r>
    </w:p>
    <w:p w14:paraId="5DED3F93" w14:textId="77777777" w:rsidR="006202D3" w:rsidRPr="00AF32A1" w:rsidRDefault="006202D3" w:rsidP="00F05FBF">
      <w:pPr>
        <w:spacing w:after="0"/>
        <w:contextualSpacing/>
        <w:rPr>
          <w:shd w:val="clear" w:color="auto" w:fill="FFFFFF"/>
        </w:rPr>
      </w:pPr>
    </w:p>
    <w:p w14:paraId="71ACC5E3" w14:textId="77777777" w:rsidR="006202D3" w:rsidRPr="00AF32A1" w:rsidRDefault="004366E2" w:rsidP="00F05FBF">
      <w:pPr>
        <w:spacing w:after="0"/>
        <w:contextualSpacing/>
        <w:rPr>
          <w:shd w:val="clear" w:color="auto" w:fill="FFFFFF"/>
        </w:rPr>
      </w:pPr>
      <w:r>
        <w:rPr>
          <w:shd w:val="clear" w:color="auto" w:fill="FFFFFF"/>
        </w:rPr>
        <w:t>December 21</w:t>
      </w:r>
      <w:r w:rsidR="006202D3" w:rsidRPr="00AF32A1">
        <w:rPr>
          <w:shd w:val="clear" w:color="auto" w:fill="FFFFFF"/>
        </w:rPr>
        <w:t>, 2015</w:t>
      </w:r>
    </w:p>
    <w:p w14:paraId="0C308D5B" w14:textId="77777777" w:rsidR="00F05FBF" w:rsidRPr="00F05FBF" w:rsidRDefault="00F05FBF" w:rsidP="00F05FBF">
      <w:pPr>
        <w:pStyle w:val="Title"/>
        <w:spacing w:after="0"/>
        <w:rPr>
          <w:sz w:val="24"/>
          <w:szCs w:val="24"/>
        </w:rPr>
      </w:pPr>
    </w:p>
    <w:p w14:paraId="3DAB8126" w14:textId="617ECC71" w:rsidR="006202D3" w:rsidRPr="004E7576" w:rsidRDefault="00D6161E" w:rsidP="00F05FBF">
      <w:pPr>
        <w:pStyle w:val="Title"/>
        <w:spacing w:after="0"/>
        <w:rPr>
          <w:sz w:val="32"/>
          <w:szCs w:val="32"/>
        </w:rPr>
      </w:pPr>
      <w:r>
        <w:rPr>
          <w:sz w:val="32"/>
          <w:szCs w:val="32"/>
        </w:rPr>
        <w:t xml:space="preserve">WINNERS &amp; LOSERS IN HUGE </w:t>
      </w:r>
      <w:r w:rsidR="00DC1101">
        <w:rPr>
          <w:sz w:val="32"/>
          <w:szCs w:val="32"/>
        </w:rPr>
        <w:t>$680 BILLION</w:t>
      </w:r>
      <w:r w:rsidR="007E1D85">
        <w:rPr>
          <w:sz w:val="32"/>
          <w:szCs w:val="32"/>
        </w:rPr>
        <w:t xml:space="preserve"> </w:t>
      </w:r>
      <w:r w:rsidR="004366E2">
        <w:rPr>
          <w:sz w:val="32"/>
          <w:szCs w:val="32"/>
        </w:rPr>
        <w:t xml:space="preserve">TAX </w:t>
      </w:r>
      <w:r w:rsidR="00DC1101">
        <w:rPr>
          <w:sz w:val="32"/>
          <w:szCs w:val="32"/>
        </w:rPr>
        <w:t xml:space="preserve">CUT </w:t>
      </w:r>
      <w:r w:rsidR="00267FB2">
        <w:rPr>
          <w:sz w:val="32"/>
          <w:szCs w:val="32"/>
        </w:rPr>
        <w:t>PACKAGE</w:t>
      </w:r>
      <w:r w:rsidR="004366E2">
        <w:rPr>
          <w:sz w:val="32"/>
          <w:szCs w:val="32"/>
        </w:rPr>
        <w:t xml:space="preserve"> </w:t>
      </w:r>
    </w:p>
    <w:p w14:paraId="77866545" w14:textId="77777777" w:rsidR="00F05FBF" w:rsidRPr="004366E2" w:rsidRDefault="00F05FBF" w:rsidP="00F05FBF">
      <w:pPr>
        <w:pStyle w:val="Subtitle"/>
        <w:spacing w:before="0" w:after="0"/>
        <w:rPr>
          <w:b w:val="0"/>
          <w:sz w:val="16"/>
          <w:szCs w:val="16"/>
        </w:rPr>
      </w:pPr>
    </w:p>
    <w:p w14:paraId="79E7F96E" w14:textId="77777777" w:rsidR="006202D3" w:rsidRPr="00770984" w:rsidRDefault="00EF4909" w:rsidP="00F05FBF">
      <w:pPr>
        <w:pStyle w:val="Subtitle"/>
        <w:spacing w:before="0" w:after="0"/>
        <w:rPr>
          <w:b w:val="0"/>
        </w:rPr>
      </w:pPr>
      <w:r>
        <w:rPr>
          <w:b w:val="0"/>
        </w:rPr>
        <w:t>It</w:t>
      </w:r>
      <w:r w:rsidR="004366E2">
        <w:rPr>
          <w:b w:val="0"/>
        </w:rPr>
        <w:t xml:space="preserve"> includes </w:t>
      </w:r>
      <w:r w:rsidR="007E1D85">
        <w:rPr>
          <w:b w:val="0"/>
        </w:rPr>
        <w:t xml:space="preserve">more than $400 billion in </w:t>
      </w:r>
      <w:r w:rsidR="004366E2">
        <w:rPr>
          <w:b w:val="0"/>
        </w:rPr>
        <w:t>unpaid-for corporate tax breaks, but includes important tax credits for working families</w:t>
      </w:r>
    </w:p>
    <w:p w14:paraId="5358EA6B" w14:textId="77777777" w:rsidR="006202D3" w:rsidRPr="00BC7EEC" w:rsidRDefault="006202D3" w:rsidP="00F05FBF">
      <w:pPr>
        <w:spacing w:after="0"/>
        <w:contextualSpacing/>
        <w:rPr>
          <w:b/>
          <w:sz w:val="22"/>
          <w:szCs w:val="22"/>
          <w:u w:val="single"/>
        </w:rPr>
      </w:pPr>
    </w:p>
    <w:p w14:paraId="7662F90F" w14:textId="4978ADA6" w:rsidR="00B05513" w:rsidRDefault="006202D3" w:rsidP="00F05FBF">
      <w:pPr>
        <w:spacing w:after="0"/>
        <w:rPr>
          <w:rFonts w:ascii="Calibri" w:eastAsia="Calibri" w:hAnsi="Calibri" w:cs="Times New Roman"/>
        </w:rPr>
      </w:pPr>
      <w:r w:rsidRPr="00AF32A1">
        <w:rPr>
          <w:b/>
        </w:rPr>
        <w:t>WASHINGTON, D.C.</w:t>
      </w:r>
      <w:r w:rsidR="00F05FBF" w:rsidRPr="00AF32A1">
        <w:rPr>
          <w:b/>
        </w:rPr>
        <w:t>—</w:t>
      </w:r>
      <w:r w:rsidR="00555448">
        <w:t>A</w:t>
      </w:r>
      <w:r w:rsidR="00CD58D7">
        <w:t>s part of the year</w:t>
      </w:r>
      <w:r w:rsidR="00577427">
        <w:t>-</w:t>
      </w:r>
      <w:r w:rsidR="00CD58D7">
        <w:t>end fiscal package,</w:t>
      </w:r>
      <w:r w:rsidR="00A027C0">
        <w:t xml:space="preserve"> </w:t>
      </w:r>
      <w:hyperlink r:id="rId10" w:history="1">
        <w:r w:rsidR="0027216B">
          <w:rPr>
            <w:rStyle w:val="Hyperlink"/>
          </w:rPr>
          <w:t>$680</w:t>
        </w:r>
        <w:r w:rsidR="00577427" w:rsidRPr="0027216B">
          <w:rPr>
            <w:rStyle w:val="Hyperlink"/>
          </w:rPr>
          <w:t xml:space="preserve"> billion of tax cuts</w:t>
        </w:r>
      </w:hyperlink>
      <w:r w:rsidR="008632FF">
        <w:t xml:space="preserve"> </w:t>
      </w:r>
      <w:r w:rsidR="00CD58D7">
        <w:t xml:space="preserve">were </w:t>
      </w:r>
      <w:r w:rsidR="00F64C10" w:rsidRPr="00F64C10">
        <w:t>signed into law</w:t>
      </w:r>
      <w:r w:rsidR="00CD58D7">
        <w:t xml:space="preserve"> by President Obama on Friday, after being</w:t>
      </w:r>
      <w:r w:rsidR="008632FF">
        <w:t xml:space="preserve"> </w:t>
      </w:r>
      <w:r w:rsidR="00DD2B54" w:rsidRPr="0027216B">
        <w:t>approved by Congress</w:t>
      </w:r>
      <w:r w:rsidR="008632FF">
        <w:t>.</w:t>
      </w:r>
      <w:r w:rsidR="00577427">
        <w:t xml:space="preserve"> </w:t>
      </w:r>
      <w:r w:rsidR="005649B4">
        <w:rPr>
          <w:rFonts w:ascii="Calibri" w:eastAsia="Calibri" w:hAnsi="Calibri" w:cs="Times New Roman"/>
        </w:rPr>
        <w:t xml:space="preserve">As your </w:t>
      </w:r>
      <w:r w:rsidR="007E1D85">
        <w:rPr>
          <w:rFonts w:ascii="Calibri" w:eastAsia="Calibri" w:hAnsi="Calibri" w:cs="Times New Roman"/>
        </w:rPr>
        <w:t xml:space="preserve">editorial board </w:t>
      </w:r>
      <w:r w:rsidR="005649B4">
        <w:rPr>
          <w:rFonts w:ascii="Calibri" w:eastAsia="Calibri" w:hAnsi="Calibri" w:cs="Times New Roman"/>
        </w:rPr>
        <w:t>evaluates t</w:t>
      </w:r>
      <w:r w:rsidR="00267FB2">
        <w:rPr>
          <w:rFonts w:ascii="Calibri" w:eastAsia="Calibri" w:hAnsi="Calibri" w:cs="Times New Roman"/>
        </w:rPr>
        <w:t xml:space="preserve">he pros and cons of the tax </w:t>
      </w:r>
      <w:r w:rsidR="00DC1101">
        <w:rPr>
          <w:rFonts w:ascii="Calibri" w:eastAsia="Calibri" w:hAnsi="Calibri" w:cs="Times New Roman"/>
        </w:rPr>
        <w:t>breaks</w:t>
      </w:r>
      <w:r w:rsidR="005649B4">
        <w:rPr>
          <w:rFonts w:ascii="Calibri" w:eastAsia="Calibri" w:hAnsi="Calibri" w:cs="Times New Roman"/>
        </w:rPr>
        <w:t xml:space="preserve"> for your readers, Americans for Tax Fairne</w:t>
      </w:r>
      <w:r w:rsidR="00BB5E2F">
        <w:rPr>
          <w:rFonts w:ascii="Calibri" w:eastAsia="Calibri" w:hAnsi="Calibri" w:cs="Times New Roman"/>
        </w:rPr>
        <w:t>ss would like to be a helpful resource.</w:t>
      </w:r>
      <w:r w:rsidR="003262EC">
        <w:rPr>
          <w:rFonts w:ascii="Calibri" w:eastAsia="Calibri" w:hAnsi="Calibri" w:cs="Times New Roman"/>
        </w:rPr>
        <w:t xml:space="preserve"> </w:t>
      </w:r>
      <w:hyperlink r:id="rId11" w:history="1">
        <w:r w:rsidR="00555448" w:rsidRPr="0039356E">
          <w:rPr>
            <w:rStyle w:val="Hyperlink"/>
            <w:rFonts w:ascii="Calibri" w:eastAsia="Calibri" w:hAnsi="Calibri" w:cs="Times New Roman"/>
          </w:rPr>
          <w:t>An ATF chart lists all 59</w:t>
        </w:r>
        <w:r w:rsidR="007F607E" w:rsidRPr="0039356E">
          <w:rPr>
            <w:rStyle w:val="Hyperlink"/>
            <w:rFonts w:ascii="Calibri" w:eastAsia="Calibri" w:hAnsi="Calibri" w:cs="Times New Roman"/>
          </w:rPr>
          <w:t xml:space="preserve"> </w:t>
        </w:r>
        <w:r w:rsidR="00BA1A31">
          <w:rPr>
            <w:rStyle w:val="Hyperlink"/>
            <w:rFonts w:ascii="Calibri" w:eastAsia="Calibri" w:hAnsi="Calibri" w:cs="Times New Roman"/>
          </w:rPr>
          <w:t xml:space="preserve">tax </w:t>
        </w:r>
        <w:r w:rsidR="007F607E" w:rsidRPr="0039356E">
          <w:rPr>
            <w:rStyle w:val="Hyperlink"/>
            <w:rFonts w:ascii="Calibri" w:eastAsia="Calibri" w:hAnsi="Calibri" w:cs="Times New Roman"/>
          </w:rPr>
          <w:t>provisions</w:t>
        </w:r>
      </w:hyperlink>
      <w:r w:rsidR="007F607E" w:rsidRPr="0039356E">
        <w:rPr>
          <w:rFonts w:ascii="Calibri" w:eastAsia="Calibri" w:hAnsi="Calibri" w:cs="Times New Roman"/>
        </w:rPr>
        <w:t xml:space="preserve"> in </w:t>
      </w:r>
      <w:r w:rsidR="00CA0A54" w:rsidRPr="0039356E">
        <w:rPr>
          <w:rFonts w:ascii="Calibri" w:eastAsia="Calibri" w:hAnsi="Calibri" w:cs="Times New Roman"/>
        </w:rPr>
        <w:t xml:space="preserve">both the </w:t>
      </w:r>
      <w:r w:rsidR="007F607E" w:rsidRPr="0039356E">
        <w:rPr>
          <w:rFonts w:ascii="Calibri" w:eastAsia="Calibri" w:hAnsi="Calibri" w:cs="Times New Roman"/>
        </w:rPr>
        <w:t>2015 tax</w:t>
      </w:r>
      <w:r w:rsidR="007E1D85">
        <w:rPr>
          <w:rFonts w:ascii="Calibri" w:eastAsia="Calibri" w:hAnsi="Calibri" w:cs="Times New Roman"/>
        </w:rPr>
        <w:t>-</w:t>
      </w:r>
      <w:r w:rsidR="007F607E" w:rsidRPr="0039356E">
        <w:rPr>
          <w:rFonts w:ascii="Calibri" w:eastAsia="Calibri" w:hAnsi="Calibri" w:cs="Times New Roman"/>
        </w:rPr>
        <w:t>extender package</w:t>
      </w:r>
      <w:r w:rsidR="00CA0A54">
        <w:rPr>
          <w:rFonts w:ascii="Calibri" w:eastAsia="Calibri" w:hAnsi="Calibri" w:cs="Times New Roman"/>
        </w:rPr>
        <w:t xml:space="preserve"> and </w:t>
      </w:r>
      <w:r w:rsidR="007E1D85">
        <w:rPr>
          <w:rFonts w:ascii="Calibri" w:eastAsia="Calibri" w:hAnsi="Calibri" w:cs="Times New Roman"/>
        </w:rPr>
        <w:t xml:space="preserve">the </w:t>
      </w:r>
      <w:r w:rsidR="00CA0A54">
        <w:rPr>
          <w:rFonts w:ascii="Calibri" w:eastAsia="Calibri" w:hAnsi="Calibri" w:cs="Times New Roman"/>
        </w:rPr>
        <w:t xml:space="preserve">Omnibus Appropriations </w:t>
      </w:r>
      <w:r w:rsidR="00267FB2">
        <w:rPr>
          <w:rFonts w:ascii="Calibri" w:eastAsia="Calibri" w:hAnsi="Calibri" w:cs="Times New Roman"/>
        </w:rPr>
        <w:t>bill</w:t>
      </w:r>
      <w:r w:rsidR="00CA0A54">
        <w:rPr>
          <w:rFonts w:ascii="Calibri" w:eastAsia="Calibri" w:hAnsi="Calibri" w:cs="Times New Roman"/>
        </w:rPr>
        <w:t xml:space="preserve">. </w:t>
      </w:r>
      <w:r w:rsidR="00B05513">
        <w:rPr>
          <w:rFonts w:ascii="Calibri" w:eastAsia="Calibri" w:hAnsi="Calibri" w:cs="Times New Roman"/>
        </w:rPr>
        <w:t>The House of Representatives passed the tax extenders as free-standing legislation</w:t>
      </w:r>
      <w:r w:rsidR="00A1138C">
        <w:rPr>
          <w:rFonts w:ascii="Calibri" w:eastAsia="Calibri" w:hAnsi="Calibri" w:cs="Times New Roman"/>
        </w:rPr>
        <w:t xml:space="preserve"> (</w:t>
      </w:r>
      <w:hyperlink r:id="rId12" w:history="1">
        <w:r w:rsidR="00A1138C" w:rsidRPr="008F50F7">
          <w:rPr>
            <w:rStyle w:val="Hyperlink"/>
            <w:rFonts w:ascii="Calibri" w:eastAsia="Calibri" w:hAnsi="Calibri" w:cs="Times New Roman"/>
          </w:rPr>
          <w:t>House vote here</w:t>
        </w:r>
      </w:hyperlink>
      <w:r w:rsidR="00A1138C">
        <w:rPr>
          <w:rFonts w:ascii="Calibri" w:eastAsia="Calibri" w:hAnsi="Calibri" w:cs="Times New Roman"/>
        </w:rPr>
        <w:t>)</w:t>
      </w:r>
      <w:r w:rsidR="00B05513">
        <w:rPr>
          <w:rFonts w:ascii="Calibri" w:eastAsia="Calibri" w:hAnsi="Calibri" w:cs="Times New Roman"/>
        </w:rPr>
        <w:t>; the U.S. Senate rolled the tax breaks into the omnibus spending bill</w:t>
      </w:r>
      <w:r w:rsidR="00A1138C">
        <w:rPr>
          <w:rFonts w:ascii="Calibri" w:eastAsia="Calibri" w:hAnsi="Calibri" w:cs="Times New Roman"/>
        </w:rPr>
        <w:t xml:space="preserve"> (</w:t>
      </w:r>
      <w:hyperlink r:id="rId13" w:history="1">
        <w:r w:rsidR="00BA1A31" w:rsidRPr="000A0C1B">
          <w:rPr>
            <w:rStyle w:val="Hyperlink"/>
            <w:rFonts w:ascii="Calibri" w:eastAsia="Calibri" w:hAnsi="Calibri" w:cs="Times New Roman"/>
          </w:rPr>
          <w:t>Senate</w:t>
        </w:r>
        <w:r w:rsidR="00A1138C" w:rsidRPr="000A0C1B">
          <w:rPr>
            <w:rStyle w:val="Hyperlink"/>
            <w:rFonts w:ascii="Calibri" w:eastAsia="Calibri" w:hAnsi="Calibri" w:cs="Times New Roman"/>
          </w:rPr>
          <w:t xml:space="preserve"> vote here</w:t>
        </w:r>
      </w:hyperlink>
      <w:r w:rsidR="00A1138C">
        <w:rPr>
          <w:rFonts w:ascii="Calibri" w:eastAsia="Calibri" w:hAnsi="Calibri" w:cs="Times New Roman"/>
        </w:rPr>
        <w:t>)</w:t>
      </w:r>
      <w:r w:rsidR="00BA1A31">
        <w:rPr>
          <w:rFonts w:ascii="Calibri" w:eastAsia="Calibri" w:hAnsi="Calibri" w:cs="Times New Roman"/>
        </w:rPr>
        <w:t xml:space="preserve">. </w:t>
      </w:r>
      <w:r w:rsidR="00B05513">
        <w:rPr>
          <w:rFonts w:ascii="Calibri" w:eastAsia="Calibri" w:hAnsi="Calibri" w:cs="Times New Roman"/>
        </w:rPr>
        <w:t xml:space="preserve"> </w:t>
      </w:r>
    </w:p>
    <w:p w14:paraId="4DF9B10E" w14:textId="77777777" w:rsidR="00B05513" w:rsidRDefault="00B05513" w:rsidP="00F05FBF">
      <w:pPr>
        <w:spacing w:after="0"/>
        <w:rPr>
          <w:rFonts w:ascii="Calibri" w:eastAsia="Calibri" w:hAnsi="Calibri" w:cs="Times New Roman"/>
        </w:rPr>
      </w:pPr>
    </w:p>
    <w:p w14:paraId="7F0A429E" w14:textId="77777777" w:rsidR="005649B4" w:rsidRDefault="00CA0A54" w:rsidP="00F05FBF">
      <w:pPr>
        <w:spacing w:after="0"/>
        <w:rPr>
          <w:rFonts w:ascii="Calibri" w:eastAsia="Calibri" w:hAnsi="Calibri" w:cs="Times New Roman"/>
        </w:rPr>
      </w:pPr>
      <w:r>
        <w:rPr>
          <w:rFonts w:ascii="Calibri" w:eastAsia="Calibri" w:hAnsi="Calibri" w:cs="Times New Roman"/>
        </w:rPr>
        <w:t xml:space="preserve">The chart includes </w:t>
      </w:r>
      <w:r w:rsidR="007F607E">
        <w:rPr>
          <w:rFonts w:ascii="Calibri" w:eastAsia="Calibri" w:hAnsi="Calibri" w:cs="Times New Roman"/>
        </w:rPr>
        <w:t xml:space="preserve">the length </w:t>
      </w:r>
      <w:r>
        <w:rPr>
          <w:rFonts w:ascii="Calibri" w:eastAsia="Calibri" w:hAnsi="Calibri" w:cs="Times New Roman"/>
        </w:rPr>
        <w:t xml:space="preserve">of each </w:t>
      </w:r>
      <w:r w:rsidR="00A1138C">
        <w:rPr>
          <w:rFonts w:ascii="Calibri" w:eastAsia="Calibri" w:hAnsi="Calibri" w:cs="Times New Roman"/>
        </w:rPr>
        <w:t>tax break</w:t>
      </w:r>
      <w:r>
        <w:rPr>
          <w:rFonts w:ascii="Calibri" w:eastAsia="Calibri" w:hAnsi="Calibri" w:cs="Times New Roman"/>
        </w:rPr>
        <w:t xml:space="preserve"> and the</w:t>
      </w:r>
      <w:r w:rsidR="007B6FC8">
        <w:rPr>
          <w:rFonts w:ascii="Calibri" w:eastAsia="Calibri" w:hAnsi="Calibri" w:cs="Times New Roman"/>
        </w:rPr>
        <w:t xml:space="preserve"> </w:t>
      </w:r>
      <w:r w:rsidR="00DC1101">
        <w:rPr>
          <w:rFonts w:ascii="Calibri" w:eastAsia="Calibri" w:hAnsi="Calibri" w:cs="Times New Roman"/>
        </w:rPr>
        <w:t xml:space="preserve">$686 billion </w:t>
      </w:r>
      <w:r w:rsidR="007B6FC8">
        <w:rPr>
          <w:rFonts w:ascii="Calibri" w:eastAsia="Calibri" w:hAnsi="Calibri" w:cs="Times New Roman"/>
        </w:rPr>
        <w:t>estima</w:t>
      </w:r>
      <w:r w:rsidR="007F607E">
        <w:rPr>
          <w:rFonts w:ascii="Calibri" w:eastAsia="Calibri" w:hAnsi="Calibri" w:cs="Times New Roman"/>
        </w:rPr>
        <w:t xml:space="preserve">ted 10-year cost </w:t>
      </w:r>
      <w:r w:rsidR="007B6FC8">
        <w:rPr>
          <w:rFonts w:ascii="Calibri" w:eastAsia="Calibri" w:hAnsi="Calibri" w:cs="Times New Roman"/>
        </w:rPr>
        <w:t xml:space="preserve">from the Joint Committee on Taxation. </w:t>
      </w:r>
      <w:r w:rsidR="003262EC">
        <w:rPr>
          <w:rFonts w:ascii="Calibri" w:eastAsia="Calibri" w:hAnsi="Calibri" w:cs="Times New Roman"/>
        </w:rPr>
        <w:t>The package includes:</w:t>
      </w:r>
    </w:p>
    <w:p w14:paraId="47AAB41D" w14:textId="77777777" w:rsidR="003262EC" w:rsidRDefault="00555448" w:rsidP="003262EC">
      <w:pPr>
        <w:pStyle w:val="ListParagraph"/>
        <w:numPr>
          <w:ilvl w:val="0"/>
          <w:numId w:val="12"/>
        </w:numPr>
        <w:spacing w:after="0"/>
        <w:rPr>
          <w:rFonts w:ascii="Calibri" w:eastAsia="Calibri" w:hAnsi="Calibri" w:cs="Times New Roman"/>
        </w:rPr>
      </w:pPr>
      <w:r>
        <w:rPr>
          <w:rFonts w:ascii="Calibri" w:eastAsia="Calibri" w:hAnsi="Calibri" w:cs="Times New Roman"/>
        </w:rPr>
        <w:t>24</w:t>
      </w:r>
      <w:r w:rsidR="003262EC">
        <w:rPr>
          <w:rFonts w:ascii="Calibri" w:eastAsia="Calibri" w:hAnsi="Calibri" w:cs="Times New Roman"/>
        </w:rPr>
        <w:t xml:space="preserve"> business tax provisions, costing a total of $</w:t>
      </w:r>
      <w:r>
        <w:rPr>
          <w:rFonts w:ascii="Calibri" w:eastAsia="Calibri" w:hAnsi="Calibri" w:cs="Times New Roman"/>
        </w:rPr>
        <w:t>383</w:t>
      </w:r>
      <w:r w:rsidR="003262EC">
        <w:rPr>
          <w:rFonts w:ascii="Calibri" w:eastAsia="Calibri" w:hAnsi="Calibri" w:cs="Times New Roman"/>
        </w:rPr>
        <w:t xml:space="preserve"> billion over 10 years</w:t>
      </w:r>
    </w:p>
    <w:p w14:paraId="7ACC9B2B" w14:textId="77777777" w:rsidR="003262EC" w:rsidRDefault="00555448" w:rsidP="003262EC">
      <w:pPr>
        <w:pStyle w:val="ListParagraph"/>
        <w:numPr>
          <w:ilvl w:val="0"/>
          <w:numId w:val="12"/>
        </w:numPr>
        <w:spacing w:after="0"/>
        <w:rPr>
          <w:rFonts w:ascii="Calibri" w:eastAsia="Calibri" w:hAnsi="Calibri" w:cs="Times New Roman"/>
        </w:rPr>
      </w:pPr>
      <w:r>
        <w:rPr>
          <w:rFonts w:ascii="Calibri" w:eastAsia="Calibri" w:hAnsi="Calibri" w:cs="Times New Roman"/>
        </w:rPr>
        <w:t>17</w:t>
      </w:r>
      <w:r w:rsidR="003262EC">
        <w:rPr>
          <w:rFonts w:ascii="Calibri" w:eastAsia="Calibri" w:hAnsi="Calibri" w:cs="Times New Roman"/>
        </w:rPr>
        <w:t xml:space="preserve"> energy </w:t>
      </w:r>
      <w:r w:rsidR="00BA1A31">
        <w:rPr>
          <w:rFonts w:ascii="Calibri" w:eastAsia="Calibri" w:hAnsi="Calibri" w:cs="Times New Roman"/>
        </w:rPr>
        <w:t xml:space="preserve">business </w:t>
      </w:r>
      <w:r w:rsidR="003262EC">
        <w:rPr>
          <w:rFonts w:ascii="Calibri" w:eastAsia="Calibri" w:hAnsi="Calibri" w:cs="Times New Roman"/>
        </w:rPr>
        <w:t>tax provisions, costing a total of $</w:t>
      </w:r>
      <w:r w:rsidR="00CA0A54">
        <w:rPr>
          <w:rFonts w:ascii="Calibri" w:eastAsia="Calibri" w:hAnsi="Calibri" w:cs="Times New Roman"/>
        </w:rPr>
        <w:t>33.5</w:t>
      </w:r>
      <w:r w:rsidR="003262EC">
        <w:rPr>
          <w:rFonts w:ascii="Calibri" w:eastAsia="Calibri" w:hAnsi="Calibri" w:cs="Times New Roman"/>
        </w:rPr>
        <w:t xml:space="preserve"> billion over 10 years</w:t>
      </w:r>
    </w:p>
    <w:p w14:paraId="1669AA46" w14:textId="77777777" w:rsidR="003262EC" w:rsidRDefault="003262EC" w:rsidP="003262EC">
      <w:pPr>
        <w:pStyle w:val="ListParagraph"/>
        <w:numPr>
          <w:ilvl w:val="0"/>
          <w:numId w:val="12"/>
        </w:numPr>
        <w:spacing w:after="0"/>
        <w:rPr>
          <w:rFonts w:ascii="Calibri" w:eastAsia="Calibri" w:hAnsi="Calibri" w:cs="Times New Roman"/>
        </w:rPr>
      </w:pPr>
      <w:r>
        <w:rPr>
          <w:rFonts w:ascii="Calibri" w:eastAsia="Calibri" w:hAnsi="Calibri" w:cs="Times New Roman"/>
        </w:rPr>
        <w:t>10 individual tax provisions, costing $253 billion over 10 years</w:t>
      </w:r>
    </w:p>
    <w:p w14:paraId="6EB5F766" w14:textId="77777777" w:rsidR="00337AB0" w:rsidRPr="00337AB0" w:rsidRDefault="00337AB0" w:rsidP="00337AB0">
      <w:pPr>
        <w:pStyle w:val="ListParagraph"/>
        <w:numPr>
          <w:ilvl w:val="0"/>
          <w:numId w:val="12"/>
        </w:numPr>
        <w:spacing w:after="0"/>
        <w:rPr>
          <w:rFonts w:ascii="Calibri" w:eastAsia="Calibri" w:hAnsi="Calibri" w:cs="Times New Roman"/>
        </w:rPr>
      </w:pPr>
      <w:r>
        <w:rPr>
          <w:rFonts w:ascii="Calibri" w:eastAsia="Calibri" w:hAnsi="Calibri" w:cs="Times New Roman"/>
        </w:rPr>
        <w:t>4 community assistance tax provisions, costing $3.3 billion over 10 years</w:t>
      </w:r>
    </w:p>
    <w:p w14:paraId="55E0F831" w14:textId="77777777" w:rsidR="003262EC" w:rsidRDefault="003262EC" w:rsidP="003262EC">
      <w:pPr>
        <w:pStyle w:val="ListParagraph"/>
        <w:numPr>
          <w:ilvl w:val="0"/>
          <w:numId w:val="12"/>
        </w:numPr>
        <w:spacing w:after="0"/>
        <w:rPr>
          <w:rFonts w:ascii="Calibri" w:eastAsia="Calibri" w:hAnsi="Calibri" w:cs="Times New Roman"/>
        </w:rPr>
      </w:pPr>
      <w:r>
        <w:rPr>
          <w:rFonts w:ascii="Calibri" w:eastAsia="Calibri" w:hAnsi="Calibri" w:cs="Times New Roman"/>
        </w:rPr>
        <w:t xml:space="preserve">4 provisions dealing with donations to charities, costing $12.8 billion over 10 years </w:t>
      </w:r>
    </w:p>
    <w:p w14:paraId="329E5E9F" w14:textId="77777777" w:rsidR="003262EC" w:rsidRDefault="003262EC" w:rsidP="00F05FBF">
      <w:pPr>
        <w:spacing w:after="0"/>
        <w:rPr>
          <w:rFonts w:ascii="Calibri" w:eastAsia="Calibri" w:hAnsi="Calibri" w:cs="Times New Roman"/>
        </w:rPr>
      </w:pPr>
    </w:p>
    <w:p w14:paraId="00A0C60B" w14:textId="2D68A1C1" w:rsidR="00267FB2" w:rsidRDefault="00267FB2" w:rsidP="00267FB2">
      <w:pPr>
        <w:spacing w:after="0"/>
      </w:pPr>
      <w:r>
        <w:t>As a coalition representing different points of view, we see this tax deal as a mixed bag for the American people</w:t>
      </w:r>
      <w:r w:rsidR="00577427">
        <w:t>—there are winners and losers</w:t>
      </w:r>
      <w:r>
        <w:t xml:space="preserve">.  </w:t>
      </w:r>
    </w:p>
    <w:p w14:paraId="32DA4407" w14:textId="77777777" w:rsidR="00267FB2" w:rsidRDefault="00267FB2" w:rsidP="00F05FBF">
      <w:pPr>
        <w:spacing w:after="0"/>
        <w:rPr>
          <w:rFonts w:ascii="Calibri" w:eastAsia="Calibri" w:hAnsi="Calibri" w:cs="Times New Roman"/>
        </w:rPr>
      </w:pPr>
    </w:p>
    <w:p w14:paraId="7A708493" w14:textId="70D9BBE5" w:rsidR="00BA1A31" w:rsidRDefault="007B6FC8" w:rsidP="00F05FBF">
      <w:pPr>
        <w:spacing w:after="0"/>
        <w:rPr>
          <w:rFonts w:ascii="Calibri" w:eastAsia="Calibri" w:hAnsi="Calibri" w:cs="Times New Roman"/>
        </w:rPr>
      </w:pPr>
      <w:r>
        <w:rPr>
          <w:rFonts w:ascii="Calibri" w:eastAsia="Calibri" w:hAnsi="Calibri" w:cs="Times New Roman"/>
        </w:rPr>
        <w:t>According to ATF’</w:t>
      </w:r>
      <w:r w:rsidR="0039356E">
        <w:rPr>
          <w:rFonts w:ascii="Calibri" w:eastAsia="Calibri" w:hAnsi="Calibri" w:cs="Times New Roman"/>
        </w:rPr>
        <w:t>s analysis</w:t>
      </w:r>
      <w:r>
        <w:rPr>
          <w:rFonts w:ascii="Calibri" w:eastAsia="Calibri" w:hAnsi="Calibri" w:cs="Times New Roman"/>
        </w:rPr>
        <w:t xml:space="preserve"> </w:t>
      </w:r>
      <w:r w:rsidRPr="00627A18">
        <w:rPr>
          <w:rFonts w:ascii="Calibri" w:eastAsia="Calibri" w:hAnsi="Calibri" w:cs="Times New Roman"/>
        </w:rPr>
        <w:t xml:space="preserve">of the </w:t>
      </w:r>
      <w:r w:rsidR="0039356E">
        <w:rPr>
          <w:rFonts w:ascii="Calibri" w:eastAsia="Calibri" w:hAnsi="Calibri" w:cs="Times New Roman"/>
        </w:rPr>
        <w:t xml:space="preserve">total </w:t>
      </w:r>
      <w:r w:rsidRPr="00627A18">
        <w:rPr>
          <w:rFonts w:ascii="Calibri" w:eastAsia="Calibri" w:hAnsi="Calibri" w:cs="Times New Roman"/>
        </w:rPr>
        <w:t>$6</w:t>
      </w:r>
      <w:r w:rsidR="00CA0A54">
        <w:rPr>
          <w:rFonts w:ascii="Calibri" w:eastAsia="Calibri" w:hAnsi="Calibri" w:cs="Times New Roman"/>
        </w:rPr>
        <w:t>86</w:t>
      </w:r>
      <w:r w:rsidRPr="00627A18">
        <w:rPr>
          <w:rFonts w:ascii="Calibri" w:eastAsia="Calibri" w:hAnsi="Calibri" w:cs="Times New Roman"/>
        </w:rPr>
        <w:t xml:space="preserve"> billion in tax breaks</w:t>
      </w:r>
      <w:r w:rsidR="0039356E">
        <w:rPr>
          <w:rFonts w:ascii="Calibri" w:eastAsia="Calibri" w:hAnsi="Calibri" w:cs="Times New Roman"/>
        </w:rPr>
        <w:t xml:space="preserve"> and </w:t>
      </w:r>
      <w:r w:rsidR="00BA1A31">
        <w:rPr>
          <w:rFonts w:ascii="Calibri" w:eastAsia="Calibri" w:hAnsi="Calibri" w:cs="Times New Roman"/>
        </w:rPr>
        <w:t xml:space="preserve">tax </w:t>
      </w:r>
      <w:r w:rsidR="0039356E">
        <w:rPr>
          <w:rFonts w:ascii="Calibri" w:eastAsia="Calibri" w:hAnsi="Calibri" w:cs="Times New Roman"/>
        </w:rPr>
        <w:t>credits</w:t>
      </w:r>
      <w:r w:rsidRPr="00627A18">
        <w:rPr>
          <w:rFonts w:ascii="Calibri" w:eastAsia="Calibri" w:hAnsi="Calibri" w:cs="Times New Roman"/>
        </w:rPr>
        <w:t xml:space="preserve">, </w:t>
      </w:r>
      <w:r w:rsidR="00CA0A54">
        <w:rPr>
          <w:rFonts w:ascii="Calibri" w:eastAsia="Calibri" w:hAnsi="Calibri" w:cs="Times New Roman"/>
        </w:rPr>
        <w:t>61</w:t>
      </w:r>
      <w:r w:rsidRPr="00627A18">
        <w:rPr>
          <w:rFonts w:ascii="Calibri" w:eastAsia="Calibri" w:hAnsi="Calibri" w:cs="Times New Roman"/>
        </w:rPr>
        <w:t>% ($</w:t>
      </w:r>
      <w:r w:rsidR="00CA0A54">
        <w:rPr>
          <w:rFonts w:ascii="Calibri" w:eastAsia="Calibri" w:hAnsi="Calibri" w:cs="Times New Roman"/>
        </w:rPr>
        <w:t>41</w:t>
      </w:r>
      <w:r w:rsidR="00E141E8">
        <w:rPr>
          <w:rFonts w:ascii="Calibri" w:eastAsia="Calibri" w:hAnsi="Calibri" w:cs="Times New Roman"/>
        </w:rPr>
        <w:t>7</w:t>
      </w:r>
      <w:r w:rsidRPr="00627A18">
        <w:rPr>
          <w:rFonts w:ascii="Calibri" w:eastAsia="Calibri" w:hAnsi="Calibri" w:cs="Times New Roman"/>
        </w:rPr>
        <w:t xml:space="preserve"> billion) benefit businesses and </w:t>
      </w:r>
      <w:r w:rsidR="0039356E">
        <w:rPr>
          <w:rFonts w:ascii="Calibri" w:eastAsia="Calibri" w:hAnsi="Calibri" w:cs="Times New Roman"/>
        </w:rPr>
        <w:t>37</w:t>
      </w:r>
      <w:r w:rsidRPr="00627A18">
        <w:rPr>
          <w:rFonts w:ascii="Calibri" w:eastAsia="Calibri" w:hAnsi="Calibri" w:cs="Times New Roman"/>
        </w:rPr>
        <w:t>% ($253 billion) benefit individuals</w:t>
      </w:r>
      <w:r>
        <w:rPr>
          <w:rFonts w:ascii="Calibri" w:eastAsia="Calibri" w:hAnsi="Calibri" w:cs="Times New Roman"/>
        </w:rPr>
        <w:t>.</w:t>
      </w:r>
      <w:r w:rsidR="0039356E">
        <w:rPr>
          <w:rFonts w:ascii="Calibri" w:eastAsia="Calibri" w:hAnsi="Calibri" w:cs="Times New Roman"/>
        </w:rPr>
        <w:t xml:space="preserve"> </w:t>
      </w:r>
      <w:r w:rsidR="00E141E8">
        <w:rPr>
          <w:rFonts w:ascii="Calibri" w:eastAsia="Calibri" w:hAnsi="Calibri" w:cs="Times New Roman"/>
        </w:rPr>
        <w:t xml:space="preserve">A typical tax-extender package (so named because </w:t>
      </w:r>
      <w:r w:rsidR="00D6161E">
        <w:rPr>
          <w:rFonts w:ascii="Calibri" w:eastAsia="Calibri" w:hAnsi="Calibri" w:cs="Times New Roman"/>
        </w:rPr>
        <w:t xml:space="preserve">about </w:t>
      </w:r>
      <w:r w:rsidR="00E141E8">
        <w:rPr>
          <w:rFonts w:ascii="Calibri" w:eastAsia="Calibri" w:hAnsi="Calibri" w:cs="Times New Roman"/>
        </w:rPr>
        <w:t xml:space="preserve">50 tax breaks expired every year or two and Congress typically renewed </w:t>
      </w:r>
      <w:r w:rsidR="00DC1101">
        <w:rPr>
          <w:rFonts w:ascii="Calibri" w:eastAsia="Calibri" w:hAnsi="Calibri" w:cs="Times New Roman"/>
        </w:rPr>
        <w:t xml:space="preserve">– </w:t>
      </w:r>
      <w:r w:rsidR="00E141E8">
        <w:rPr>
          <w:rFonts w:ascii="Calibri" w:eastAsia="Calibri" w:hAnsi="Calibri" w:cs="Times New Roman"/>
        </w:rPr>
        <w:t>extended</w:t>
      </w:r>
      <w:r w:rsidR="00DC1101">
        <w:rPr>
          <w:rFonts w:ascii="Calibri" w:eastAsia="Calibri" w:hAnsi="Calibri" w:cs="Times New Roman"/>
        </w:rPr>
        <w:t xml:space="preserve"> – </w:t>
      </w:r>
      <w:r w:rsidR="00E141E8">
        <w:rPr>
          <w:rFonts w:ascii="Calibri" w:eastAsia="Calibri" w:hAnsi="Calibri" w:cs="Times New Roman"/>
        </w:rPr>
        <w:t xml:space="preserve">all of them) cost about $50 billion a year. They were never paid for, for instance by closing other loopholes, and about 80% of the tax breaks benefitted businesses. </w:t>
      </w:r>
      <w:r w:rsidR="00A1138C">
        <w:rPr>
          <w:rFonts w:ascii="Calibri" w:eastAsia="Calibri" w:hAnsi="Calibri" w:cs="Times New Roman"/>
        </w:rPr>
        <w:t xml:space="preserve">See ATF’s </w:t>
      </w:r>
      <w:hyperlink r:id="rId14" w:history="1">
        <w:r w:rsidR="00A1138C" w:rsidRPr="00A1138C">
          <w:rPr>
            <w:rStyle w:val="Hyperlink"/>
            <w:rFonts w:ascii="Calibri" w:eastAsia="Calibri" w:hAnsi="Calibri" w:cs="Times New Roman"/>
          </w:rPr>
          <w:t>December 1 editorial board memo</w:t>
        </w:r>
      </w:hyperlink>
      <w:r w:rsidR="00A1138C">
        <w:rPr>
          <w:rFonts w:ascii="Calibri" w:eastAsia="Calibri" w:hAnsi="Calibri" w:cs="Times New Roman"/>
        </w:rPr>
        <w:t xml:space="preserve"> for more background.</w:t>
      </w:r>
    </w:p>
    <w:p w14:paraId="499B0469" w14:textId="77777777" w:rsidR="00BA1A31" w:rsidRDefault="00BA1A31" w:rsidP="00F05FBF">
      <w:pPr>
        <w:spacing w:after="0"/>
        <w:rPr>
          <w:rFonts w:ascii="Calibri" w:eastAsia="Calibri" w:hAnsi="Calibri" w:cs="Times New Roman"/>
        </w:rPr>
      </w:pPr>
      <w:r>
        <w:rPr>
          <w:rFonts w:ascii="Calibri" w:eastAsia="Calibri" w:hAnsi="Calibri" w:cs="Times New Roman"/>
        </w:rPr>
        <w:lastRenderedPageBreak/>
        <w:t xml:space="preserve"> </w:t>
      </w:r>
    </w:p>
    <w:p w14:paraId="5B04FBE5" w14:textId="22C5BBBD" w:rsidR="007B6FC8" w:rsidRDefault="0039356E" w:rsidP="00F05FBF">
      <w:pPr>
        <w:spacing w:after="0"/>
        <w:rPr>
          <w:rFonts w:ascii="Calibri" w:eastAsia="Calibri" w:hAnsi="Calibri" w:cs="Times New Roman"/>
        </w:rPr>
      </w:pPr>
      <w:r>
        <w:rPr>
          <w:rFonts w:ascii="Calibri" w:eastAsia="Calibri" w:hAnsi="Calibri" w:cs="Times New Roman"/>
        </w:rPr>
        <w:t xml:space="preserve">While this </w:t>
      </w:r>
      <w:r w:rsidR="00E141E8">
        <w:rPr>
          <w:rFonts w:ascii="Calibri" w:eastAsia="Calibri" w:hAnsi="Calibri" w:cs="Times New Roman"/>
        </w:rPr>
        <w:t xml:space="preserve">new package </w:t>
      </w:r>
      <w:r>
        <w:rPr>
          <w:rFonts w:ascii="Calibri" w:eastAsia="Calibri" w:hAnsi="Calibri" w:cs="Times New Roman"/>
        </w:rPr>
        <w:t xml:space="preserve">is a more balanced ratio </w:t>
      </w:r>
      <w:r w:rsidR="00DC1101">
        <w:rPr>
          <w:rFonts w:ascii="Calibri" w:eastAsia="Calibri" w:hAnsi="Calibri" w:cs="Times New Roman"/>
        </w:rPr>
        <w:t xml:space="preserve">of corporate tax cuts to individual tax cuts </w:t>
      </w:r>
      <w:r w:rsidR="00E141E8">
        <w:rPr>
          <w:rFonts w:ascii="Calibri" w:eastAsia="Calibri" w:hAnsi="Calibri" w:cs="Times New Roman"/>
        </w:rPr>
        <w:t xml:space="preserve">(60-40 rather than 80-20) </w:t>
      </w:r>
      <w:r>
        <w:rPr>
          <w:rFonts w:ascii="Calibri" w:eastAsia="Calibri" w:hAnsi="Calibri" w:cs="Times New Roman"/>
        </w:rPr>
        <w:t xml:space="preserve">than in </w:t>
      </w:r>
      <w:r w:rsidR="00D6161E">
        <w:rPr>
          <w:rFonts w:ascii="Calibri" w:eastAsia="Calibri" w:hAnsi="Calibri" w:cs="Times New Roman"/>
        </w:rPr>
        <w:t>typical tax-</w:t>
      </w:r>
      <w:r w:rsidR="00D86E46">
        <w:rPr>
          <w:rFonts w:ascii="Calibri" w:eastAsia="Calibri" w:hAnsi="Calibri" w:cs="Times New Roman"/>
        </w:rPr>
        <w:t>extender bills</w:t>
      </w:r>
      <w:r>
        <w:rPr>
          <w:rFonts w:ascii="Calibri" w:eastAsia="Calibri" w:hAnsi="Calibri" w:cs="Times New Roman"/>
        </w:rPr>
        <w:t xml:space="preserve">, we believe </w:t>
      </w:r>
      <w:r w:rsidR="00CD13FF" w:rsidRPr="00CD13FF">
        <w:rPr>
          <w:rFonts w:ascii="Calibri" w:eastAsia="Calibri" w:hAnsi="Calibri" w:cs="Times New Roman"/>
          <w:b/>
        </w:rPr>
        <w:t xml:space="preserve">none of these </w:t>
      </w:r>
      <w:r w:rsidR="00E141E8">
        <w:rPr>
          <w:rFonts w:ascii="Calibri" w:eastAsia="Calibri" w:hAnsi="Calibri" w:cs="Times New Roman"/>
          <w:b/>
        </w:rPr>
        <w:t xml:space="preserve">corporate </w:t>
      </w:r>
      <w:r w:rsidR="00CD13FF" w:rsidRPr="00CD13FF">
        <w:rPr>
          <w:rFonts w:ascii="Calibri" w:eastAsia="Calibri" w:hAnsi="Calibri" w:cs="Times New Roman"/>
          <w:b/>
        </w:rPr>
        <w:t>tax breaks should have been extended without paying for them by closing other corporate tax loopholes</w:t>
      </w:r>
      <w:r w:rsidR="00CD13FF">
        <w:rPr>
          <w:rFonts w:ascii="Calibri" w:eastAsia="Calibri" w:hAnsi="Calibri" w:cs="Times New Roman"/>
        </w:rPr>
        <w:t>.</w:t>
      </w:r>
      <w:r>
        <w:rPr>
          <w:rFonts w:ascii="Calibri" w:eastAsia="Calibri" w:hAnsi="Calibri" w:cs="Times New Roman"/>
        </w:rPr>
        <w:t xml:space="preserve"> </w:t>
      </w:r>
    </w:p>
    <w:p w14:paraId="69407288" w14:textId="77777777" w:rsidR="00CD13FF" w:rsidRDefault="00CD13FF" w:rsidP="00CD13FF">
      <w:pPr>
        <w:spacing w:after="0"/>
      </w:pPr>
    </w:p>
    <w:p w14:paraId="6876AC49" w14:textId="77777777" w:rsidR="00CA063B" w:rsidRDefault="00CA063B" w:rsidP="00CA063B">
      <w:pPr>
        <w:spacing w:after="0"/>
        <w:contextualSpacing/>
      </w:pPr>
      <w:r>
        <w:t xml:space="preserve">A double standard is at work among conservatives in Congress. </w:t>
      </w:r>
      <w:r w:rsidR="00D86E46">
        <w:t>T</w:t>
      </w:r>
      <w:r>
        <w:t>hey routinely pass big tax breaks for corporations that are not paid for</w:t>
      </w:r>
      <w:r w:rsidR="00D86E46">
        <w:t xml:space="preserve">. Yet, </w:t>
      </w:r>
      <w:r>
        <w:t>c</w:t>
      </w:r>
      <w:r w:rsidRPr="00AF32A1">
        <w:t xml:space="preserve">orporations have not contributed a dime to deficit reduction in recent years by </w:t>
      </w:r>
      <w:r w:rsidR="00D86E46">
        <w:t xml:space="preserve">repealing </w:t>
      </w:r>
      <w:r w:rsidRPr="00AF32A1">
        <w:t xml:space="preserve">even one corporate tax break or loophole. Meanwhile, nearly </w:t>
      </w:r>
      <w:hyperlink r:id="rId15" w:history="1">
        <w:r w:rsidRPr="00AF32A1">
          <w:rPr>
            <w:rStyle w:val="Hyperlink"/>
          </w:rPr>
          <w:t>$2.7 trillion in spending cuts</w:t>
        </w:r>
      </w:hyperlink>
      <w:r w:rsidRPr="00AF32A1">
        <w:t xml:space="preserve"> are scheduled over the next 10 years</w:t>
      </w:r>
      <w:r>
        <w:t xml:space="preserve"> due to deficit-reduction deals</w:t>
      </w:r>
      <w:r w:rsidRPr="00AF32A1">
        <w:t xml:space="preserve">. Even with the recent </w:t>
      </w:r>
      <w:hyperlink r:id="rId16" w:history="1">
        <w:r w:rsidRPr="00AF32A1">
          <w:rPr>
            <w:rStyle w:val="Hyperlink"/>
          </w:rPr>
          <w:t>budget deal</w:t>
        </w:r>
      </w:hyperlink>
      <w:r w:rsidRPr="00AF32A1">
        <w:t>, nondefense discretionary programs—which include education, housing, infrastructure, and research—will be cut to a smaller share of the economy than any time since the government began tracking this data in 1962.</w:t>
      </w:r>
    </w:p>
    <w:p w14:paraId="2BBC6767" w14:textId="77777777" w:rsidR="00CF3849" w:rsidRDefault="00CF3849" w:rsidP="00CA063B">
      <w:pPr>
        <w:spacing w:after="0"/>
        <w:contextualSpacing/>
      </w:pPr>
    </w:p>
    <w:p w14:paraId="75D7B00F" w14:textId="58F61BB8" w:rsidR="00CF3849" w:rsidRDefault="00CF3849" w:rsidP="00CF3849">
      <w:pPr>
        <w:spacing w:after="0"/>
        <w:contextualSpacing/>
      </w:pPr>
      <w:bookmarkStart w:id="0" w:name="_GoBack"/>
      <w:r>
        <w:t xml:space="preserve">Conservatives even demanded that a renewal of </w:t>
      </w:r>
      <w:r w:rsidR="008F50F7">
        <w:t>the</w:t>
      </w:r>
      <w:r>
        <w:t xml:space="preserve"> </w:t>
      </w:r>
      <w:hyperlink r:id="rId17" w:history="1">
        <w:r w:rsidRPr="00CF3849">
          <w:rPr>
            <w:rStyle w:val="Hyperlink"/>
          </w:rPr>
          <w:t xml:space="preserve">9/11 first responders </w:t>
        </w:r>
        <w:r w:rsidR="008F50F7">
          <w:rPr>
            <w:rStyle w:val="Hyperlink"/>
          </w:rPr>
          <w:t>World Trade Center Health Program</w:t>
        </w:r>
      </w:hyperlink>
      <w:r>
        <w:t xml:space="preserve"> and </w:t>
      </w:r>
      <w:r w:rsidR="008F50F7">
        <w:t>a V</w:t>
      </w:r>
      <w:r>
        <w:t xml:space="preserve">ictims </w:t>
      </w:r>
      <w:r w:rsidR="008F50F7">
        <w:t>C</w:t>
      </w:r>
      <w:r>
        <w:t xml:space="preserve">ompensation </w:t>
      </w:r>
      <w:r w:rsidR="008F50F7">
        <w:t>F</w:t>
      </w:r>
      <w:r>
        <w:t>und</w:t>
      </w:r>
      <w:r w:rsidR="00B55DAC">
        <w:t>,</w:t>
      </w:r>
      <w:r>
        <w:t xml:space="preserve"> costing a total of $8 billion</w:t>
      </w:r>
      <w:r w:rsidR="00B55DAC">
        <w:t>,</w:t>
      </w:r>
      <w:r>
        <w:t xml:space="preserve"> be paid for in order to be included in the omnibus year-end spending package.</w:t>
      </w:r>
    </w:p>
    <w:bookmarkEnd w:id="0"/>
    <w:p w14:paraId="6E8A20E3" w14:textId="77777777" w:rsidR="00E141E8" w:rsidRDefault="00E141E8" w:rsidP="00CD13FF">
      <w:pPr>
        <w:spacing w:after="0"/>
      </w:pPr>
    </w:p>
    <w:p w14:paraId="441CA4F8" w14:textId="77777777" w:rsidR="00CA063B" w:rsidRDefault="00CD13FF" w:rsidP="00CA063B">
      <w:pPr>
        <w:spacing w:after="0"/>
        <w:contextualSpacing/>
      </w:pPr>
      <w:r>
        <w:rPr>
          <w:rFonts w:ascii="Calibri" w:eastAsia="Calibri" w:hAnsi="Calibri" w:cs="Times New Roman"/>
        </w:rPr>
        <w:t xml:space="preserve">On the other hand, the </w:t>
      </w:r>
      <w:r w:rsidR="00CA063B">
        <w:rPr>
          <w:rFonts w:ascii="Calibri" w:eastAsia="Calibri" w:hAnsi="Calibri" w:cs="Times New Roman"/>
        </w:rPr>
        <w:t xml:space="preserve">tax </w:t>
      </w:r>
      <w:r>
        <w:rPr>
          <w:rFonts w:ascii="Calibri" w:eastAsia="Calibri" w:hAnsi="Calibri" w:cs="Times New Roman"/>
        </w:rPr>
        <w:t xml:space="preserve">deal is also a win for working families. Advocates were able to secure permanent improvements to two successful pro-work, anti-poverty tax credits </w:t>
      </w:r>
      <w:r w:rsidR="00E53AAE">
        <w:rPr>
          <w:rFonts w:ascii="Calibri" w:eastAsia="Calibri" w:hAnsi="Calibri" w:cs="Times New Roman"/>
        </w:rPr>
        <w:t xml:space="preserve">that were set to expire in 2017:  the Earned Income Tax Credit (EITC) and </w:t>
      </w:r>
      <w:r w:rsidR="00CA063B">
        <w:rPr>
          <w:rFonts w:ascii="Calibri" w:eastAsia="Calibri" w:hAnsi="Calibri" w:cs="Times New Roman"/>
        </w:rPr>
        <w:t xml:space="preserve">the </w:t>
      </w:r>
      <w:r w:rsidR="00E53AAE">
        <w:rPr>
          <w:rFonts w:ascii="Calibri" w:eastAsia="Calibri" w:hAnsi="Calibri" w:cs="Times New Roman"/>
        </w:rPr>
        <w:t>Child Tax Credit (CTC).</w:t>
      </w:r>
      <w:r w:rsidR="00CA063B">
        <w:rPr>
          <w:rFonts w:ascii="Calibri" w:eastAsia="Calibri" w:hAnsi="Calibri" w:cs="Times New Roman"/>
        </w:rPr>
        <w:t xml:space="preserve"> Their cost: $118 billion over 10 years. </w:t>
      </w:r>
      <w:r w:rsidR="00CA063B" w:rsidRPr="00AF32A1">
        <w:t xml:space="preserve">If these improvements </w:t>
      </w:r>
      <w:r w:rsidR="00CA063B">
        <w:t xml:space="preserve">were allowed to expire, it would have pushed </w:t>
      </w:r>
      <w:r w:rsidR="00CA063B" w:rsidRPr="00AF32A1">
        <w:t xml:space="preserve">more than </w:t>
      </w:r>
      <w:hyperlink r:id="rId18" w:history="1">
        <w:r w:rsidR="00CA063B" w:rsidRPr="00AF32A1">
          <w:rPr>
            <w:rStyle w:val="Hyperlink"/>
          </w:rPr>
          <w:t>16 million people</w:t>
        </w:r>
      </w:hyperlink>
      <w:r w:rsidR="00CA063B" w:rsidRPr="00AF32A1">
        <w:t xml:space="preserve">—including about 8 million children—into poverty or deeper into poverty. </w:t>
      </w:r>
    </w:p>
    <w:p w14:paraId="19F1855A" w14:textId="77777777" w:rsidR="00CA063B" w:rsidRDefault="00CA063B" w:rsidP="00CA063B">
      <w:pPr>
        <w:spacing w:after="0"/>
        <w:contextualSpacing/>
      </w:pPr>
    </w:p>
    <w:p w14:paraId="61959D91" w14:textId="6437F838" w:rsidR="00E423A6" w:rsidRPr="00AA6659" w:rsidRDefault="00CA063B" w:rsidP="00E423A6">
      <w:pPr>
        <w:spacing w:after="0"/>
        <w:rPr>
          <w:rFonts w:cs="Arial"/>
          <w:color w:val="000000"/>
          <w:shd w:val="clear" w:color="auto" w:fill="FFFFFF"/>
        </w:rPr>
      </w:pPr>
      <w:r>
        <w:t xml:space="preserve">Another win was </w:t>
      </w:r>
      <w:r w:rsidR="00E423A6" w:rsidRPr="00AA6659">
        <w:rPr>
          <w:rFonts w:eastAsia="Times New Roman" w:cs="Arial"/>
          <w:bCs/>
          <w:color w:val="000000"/>
        </w:rPr>
        <w:t xml:space="preserve">the renewal of the </w:t>
      </w:r>
      <w:hyperlink r:id="rId19" w:history="1">
        <w:r w:rsidR="00E423A6" w:rsidRPr="00577427">
          <w:rPr>
            <w:rStyle w:val="Hyperlink"/>
          </w:rPr>
          <w:t>American Opportunity Tax Credit</w:t>
        </w:r>
      </w:hyperlink>
      <w:r w:rsidR="00D86E46">
        <w:t>, at a 10-year cost of $80 billion</w:t>
      </w:r>
      <w:r w:rsidR="00E423A6" w:rsidRPr="00AA6659">
        <w:t xml:space="preserve">. It provides a tax credit of up </w:t>
      </w:r>
      <w:r w:rsidR="00E423A6" w:rsidRPr="00577427">
        <w:t>to $2,500</w:t>
      </w:r>
      <w:r w:rsidR="00E423A6" w:rsidRPr="00AA6659">
        <w:t xml:space="preserve"> for expenses incurred while attending college such as tuition, fees and course materials. This will give a helping hand to millions of families struggling with the costs of higher education.</w:t>
      </w:r>
      <w:r w:rsidR="00E423A6" w:rsidRPr="00AA6659">
        <w:rPr>
          <w:rFonts w:cs="Arial"/>
          <w:color w:val="000000"/>
          <w:shd w:val="clear" w:color="auto" w:fill="FFFFFF"/>
        </w:rPr>
        <w:t xml:space="preserve"> </w:t>
      </w:r>
    </w:p>
    <w:p w14:paraId="43CAB5A4" w14:textId="77777777" w:rsidR="00E53AAE" w:rsidRDefault="00E53AAE" w:rsidP="00F05FBF">
      <w:pPr>
        <w:spacing w:after="0"/>
        <w:rPr>
          <w:rFonts w:ascii="Calibri" w:eastAsia="Calibri" w:hAnsi="Calibri" w:cs="Times New Roman"/>
        </w:rPr>
      </w:pPr>
    </w:p>
    <w:p w14:paraId="52A738FB" w14:textId="77777777" w:rsidR="00202DA3" w:rsidRDefault="00202DA3" w:rsidP="00F05FBF">
      <w:pPr>
        <w:spacing w:after="0"/>
        <w:rPr>
          <w:rFonts w:ascii="Calibri" w:eastAsia="Calibri" w:hAnsi="Calibri" w:cs="Times New Roman"/>
        </w:rPr>
      </w:pPr>
      <w:r>
        <w:rPr>
          <w:rFonts w:ascii="Calibri" w:eastAsia="Calibri" w:hAnsi="Calibri" w:cs="Times New Roman"/>
        </w:rPr>
        <w:t xml:space="preserve">Below is a deeper analysis of these wins and losses and missed opportunities. </w:t>
      </w:r>
    </w:p>
    <w:p w14:paraId="7441DE4E" w14:textId="77777777" w:rsidR="00202DA3" w:rsidRDefault="00202DA3" w:rsidP="00F05FBF">
      <w:pPr>
        <w:spacing w:after="0"/>
        <w:rPr>
          <w:rFonts w:ascii="Calibri" w:eastAsia="Calibri" w:hAnsi="Calibri" w:cs="Times New Roman"/>
        </w:rPr>
      </w:pPr>
    </w:p>
    <w:p w14:paraId="1DFA5079" w14:textId="77777777" w:rsidR="00E53AAE" w:rsidRPr="00E53AAE" w:rsidRDefault="00DE1B6E" w:rsidP="00F05FBF">
      <w:pPr>
        <w:spacing w:after="0"/>
        <w:rPr>
          <w:rFonts w:ascii="Calibri" w:eastAsia="Calibri" w:hAnsi="Calibri" w:cs="Times New Roman"/>
          <w:b/>
        </w:rPr>
      </w:pPr>
      <w:r>
        <w:rPr>
          <w:rFonts w:ascii="Calibri" w:eastAsia="Calibri" w:hAnsi="Calibri" w:cs="Times New Roman"/>
          <w:b/>
        </w:rPr>
        <w:t>BAD CHOICES</w:t>
      </w:r>
    </w:p>
    <w:p w14:paraId="26EDE86F" w14:textId="77777777" w:rsidR="007B6FC8" w:rsidRPr="00AF32A1" w:rsidRDefault="007B6FC8" w:rsidP="00707ED7">
      <w:r>
        <w:t>From our perspective</w:t>
      </w:r>
      <w:r w:rsidR="00707ED7">
        <w:t xml:space="preserve">, the worst </w:t>
      </w:r>
      <w:r w:rsidR="00CF3849">
        <w:t xml:space="preserve">tax breaks </w:t>
      </w:r>
      <w:r w:rsidR="00707ED7">
        <w:t xml:space="preserve">to </w:t>
      </w:r>
      <w:r w:rsidR="00512E05">
        <w:t xml:space="preserve">be extended in the deal are </w:t>
      </w:r>
      <w:r w:rsidR="00CF3849">
        <w:t xml:space="preserve">the </w:t>
      </w:r>
      <w:r w:rsidR="00707ED7">
        <w:t>Active Financing Exception</w:t>
      </w:r>
      <w:r w:rsidR="00512E05">
        <w:t xml:space="preserve"> </w:t>
      </w:r>
      <w:r w:rsidR="00707ED7">
        <w:t>(AFE)</w:t>
      </w:r>
      <w:r w:rsidR="00CF3849">
        <w:t xml:space="preserve">, </w:t>
      </w:r>
      <w:r w:rsidR="00707ED7">
        <w:t xml:space="preserve">the Controlled Foreign Corporations (CFC) </w:t>
      </w:r>
      <w:r w:rsidR="00E53AAE">
        <w:t>Look-Through Rule</w:t>
      </w:r>
      <w:r w:rsidR="00CF3849">
        <w:t>, and Bonus Depreciation</w:t>
      </w:r>
      <w:r w:rsidR="00E53AAE">
        <w:t>. B</w:t>
      </w:r>
      <w:r w:rsidR="00707ED7">
        <w:t xml:space="preserve">oth </w:t>
      </w:r>
      <w:r w:rsidR="00CF3849">
        <w:t xml:space="preserve">AFE and CFC </w:t>
      </w:r>
      <w:r w:rsidR="00707ED7">
        <w:t>provide tax advantages to American multinational corporations for shifting profits offshore</w:t>
      </w:r>
      <w:r w:rsidR="00E53AAE">
        <w:t>, especially to tax havens</w:t>
      </w:r>
      <w:r w:rsidR="00707ED7">
        <w:t xml:space="preserve">. The </w:t>
      </w:r>
      <w:r w:rsidR="00CF3849">
        <w:t xml:space="preserve">AFE was made permanent. The </w:t>
      </w:r>
      <w:r w:rsidR="00707ED7">
        <w:t>CFC Look-Through Rule was extended for five years</w:t>
      </w:r>
      <w:r w:rsidR="00D86E46">
        <w:t>,</w:t>
      </w:r>
      <w:r w:rsidR="00CF3849">
        <w:t xml:space="preserve"> and Bonus Depreciation was extended for six year</w:t>
      </w:r>
      <w:r w:rsidR="008F50F7">
        <w:t>s</w:t>
      </w:r>
      <w:r w:rsidR="00D86E46">
        <w:t>. However,</w:t>
      </w:r>
      <w:r w:rsidR="0052637B">
        <w:t xml:space="preserve"> a fu</w:t>
      </w:r>
      <w:r w:rsidR="00267FB2">
        <w:t xml:space="preserve">ture Congress may vote to </w:t>
      </w:r>
      <w:r w:rsidR="00CF3849">
        <w:t xml:space="preserve">renew both of them. </w:t>
      </w:r>
      <w:r w:rsidR="00707ED7">
        <w:t xml:space="preserve"> </w:t>
      </w:r>
    </w:p>
    <w:p w14:paraId="0FFA9FD4" w14:textId="77777777" w:rsidR="007B6FC8" w:rsidRPr="007A18FE" w:rsidRDefault="007B6FC8" w:rsidP="007B6FC8">
      <w:pPr>
        <w:pStyle w:val="ListParagraph"/>
        <w:numPr>
          <w:ilvl w:val="0"/>
          <w:numId w:val="11"/>
        </w:numPr>
        <w:spacing w:after="0"/>
        <w:rPr>
          <w:rFonts w:eastAsia="Calibri" w:cs="Times New Roman"/>
        </w:rPr>
      </w:pPr>
      <w:r w:rsidRPr="00AF32A1">
        <w:rPr>
          <w:b/>
          <w:bCs/>
        </w:rPr>
        <w:t xml:space="preserve">Active Financing Exception </w:t>
      </w:r>
      <w:r w:rsidR="001823E7" w:rsidRPr="00E53AAE">
        <w:rPr>
          <w:bCs/>
        </w:rPr>
        <w:t>(</w:t>
      </w:r>
      <w:hyperlink r:id="rId20" w:history="1">
        <w:r w:rsidR="001823E7" w:rsidRPr="00E53AAE">
          <w:rPr>
            <w:rStyle w:val="Hyperlink"/>
            <w:bCs/>
          </w:rPr>
          <w:t>$78 billion over 10 years</w:t>
        </w:r>
      </w:hyperlink>
      <w:r w:rsidR="001823E7" w:rsidRPr="001823E7">
        <w:rPr>
          <w:bCs/>
        </w:rPr>
        <w:t>)</w:t>
      </w:r>
      <w:r w:rsidR="00CF3849">
        <w:rPr>
          <w:bCs/>
        </w:rPr>
        <w:t>.</w:t>
      </w:r>
      <w:r w:rsidR="001823E7">
        <w:rPr>
          <w:b/>
          <w:bCs/>
        </w:rPr>
        <w:t xml:space="preserve"> </w:t>
      </w:r>
      <w:r w:rsidRPr="00AF32A1">
        <w:rPr>
          <w:bCs/>
        </w:rPr>
        <w:t>T</w:t>
      </w:r>
      <w:r w:rsidRPr="00AF32A1">
        <w:t>his tax loophole</w:t>
      </w:r>
      <w:r w:rsidRPr="00AF32A1">
        <w:rPr>
          <w:b/>
          <w:bCs/>
        </w:rPr>
        <w:t> </w:t>
      </w:r>
      <w:r w:rsidRPr="00AF32A1">
        <w:t>lets corporations (primarily financial i</w:t>
      </w:r>
      <w:r w:rsidR="00E53AAE">
        <w:t xml:space="preserve">nstitutions such as </w:t>
      </w:r>
      <w:r w:rsidRPr="00AF32A1">
        <w:t xml:space="preserve">Wall Street banks and insurance companies) avoid paying U.S. taxes on the financial income they earn (or claim to earn) in foreign countries, so long as those profits remain officially offshore. This is a major reason that General </w:t>
      </w:r>
      <w:r w:rsidRPr="00AF32A1">
        <w:lastRenderedPageBreak/>
        <w:t xml:space="preserve">Electric, which made $27.5 billion in profits from 2008-2012, got a total of $3.1 billion in federal tax </w:t>
      </w:r>
      <w:r w:rsidRPr="00512E05">
        <w:rPr>
          <w:i/>
          <w:u w:val="single"/>
        </w:rPr>
        <w:t>refunds</w:t>
      </w:r>
      <w:r w:rsidRPr="00AF32A1">
        <w:t xml:space="preserve"> and paid an effective tax rate of </w:t>
      </w:r>
      <w:r w:rsidRPr="00512E05">
        <w:rPr>
          <w:i/>
          <w:u w:val="single"/>
        </w:rPr>
        <w:t>negative</w:t>
      </w:r>
      <w:r w:rsidRPr="00AF32A1">
        <w:t xml:space="preserve"> 11.1% over that period, </w:t>
      </w:r>
      <w:hyperlink r:id="rId21" w:tgtFrame="_blank" w:history="1">
        <w:r w:rsidRPr="00AF32A1">
          <w:rPr>
            <w:rStyle w:val="Hyperlink"/>
          </w:rPr>
          <w:t>according to Citizens for Tax Justice</w:t>
        </w:r>
      </w:hyperlink>
      <w:r w:rsidRPr="00AF32A1">
        <w:t xml:space="preserve">.  </w:t>
      </w:r>
      <w:r w:rsidRPr="007A18FE">
        <w:t xml:space="preserve">For a more </w:t>
      </w:r>
      <w:hyperlink r:id="rId22" w:history="1">
        <w:r w:rsidRPr="007A18FE">
          <w:rPr>
            <w:rStyle w:val="Hyperlink"/>
          </w:rPr>
          <w:t>detailed AFE fact sheet go here</w:t>
        </w:r>
      </w:hyperlink>
      <w:r w:rsidRPr="007A18FE">
        <w:t>.</w:t>
      </w:r>
    </w:p>
    <w:p w14:paraId="1CD22FA8" w14:textId="77777777" w:rsidR="007B6FC8" w:rsidRPr="00AF32A1" w:rsidRDefault="007B6FC8" w:rsidP="007B6FC8">
      <w:pPr>
        <w:pStyle w:val="ListParagraph"/>
        <w:spacing w:after="0"/>
        <w:ind w:left="360"/>
      </w:pPr>
    </w:p>
    <w:p w14:paraId="467AF6E1" w14:textId="77777777" w:rsidR="007B6FC8" w:rsidRPr="0044760E" w:rsidRDefault="007B6FC8" w:rsidP="00504567">
      <w:pPr>
        <w:numPr>
          <w:ilvl w:val="0"/>
          <w:numId w:val="6"/>
        </w:numPr>
        <w:spacing w:after="0"/>
        <w:contextualSpacing/>
      </w:pPr>
      <w:r w:rsidRPr="00BC6914">
        <w:rPr>
          <w:b/>
          <w:bCs/>
        </w:rPr>
        <w:t xml:space="preserve">Controlled Foreign Corporation (CFC) Look-Through Rule </w:t>
      </w:r>
      <w:r w:rsidR="001823E7" w:rsidRPr="00BC6914">
        <w:rPr>
          <w:bCs/>
        </w:rPr>
        <w:t>(</w:t>
      </w:r>
      <w:hyperlink r:id="rId23" w:history="1">
        <w:r w:rsidR="001823E7" w:rsidRPr="00BC6914">
          <w:rPr>
            <w:rStyle w:val="Hyperlink"/>
            <w:bCs/>
          </w:rPr>
          <w:t>$7.8 billion over five years</w:t>
        </w:r>
      </w:hyperlink>
      <w:r w:rsidR="001823E7" w:rsidRPr="00BC6914">
        <w:rPr>
          <w:bCs/>
        </w:rPr>
        <w:t>)</w:t>
      </w:r>
      <w:r w:rsidR="00561A26" w:rsidRPr="00BC6914">
        <w:rPr>
          <w:bCs/>
        </w:rPr>
        <w:t>.</w:t>
      </w:r>
      <w:r w:rsidR="00980E45" w:rsidRPr="00BC6914">
        <w:rPr>
          <w:b/>
          <w:bCs/>
        </w:rPr>
        <w:t xml:space="preserve"> </w:t>
      </w:r>
      <w:r w:rsidRPr="00AF32A1">
        <w:t xml:space="preserve">This tax loophole lets U.S. multinationals shift profits between foreign subsidiaries without triggering the U.S. taxes normally due. </w:t>
      </w:r>
      <w:r w:rsidR="00BC6914">
        <w:t>Typically, t</w:t>
      </w:r>
      <w:r w:rsidRPr="00AF32A1">
        <w:t xml:space="preserve">he U.S. parent grants ownership of assets like brands and patents to </w:t>
      </w:r>
      <w:r w:rsidR="00BC6914">
        <w:t>a s</w:t>
      </w:r>
      <w:r w:rsidRPr="00AF32A1">
        <w:t xml:space="preserve">ubsidiary </w:t>
      </w:r>
      <w:r w:rsidR="00BC6914">
        <w:t>located in a tax haven</w:t>
      </w:r>
      <w:r w:rsidRPr="00AF32A1">
        <w:t xml:space="preserve">, which “licenses” them </w:t>
      </w:r>
      <w:r w:rsidR="00BC6914">
        <w:t xml:space="preserve">at steep prices </w:t>
      </w:r>
      <w:r w:rsidRPr="00AF32A1">
        <w:t xml:space="preserve">to </w:t>
      </w:r>
      <w:r w:rsidR="00BC6914">
        <w:t>a foreign s</w:t>
      </w:r>
      <w:r w:rsidRPr="00AF32A1">
        <w:t xml:space="preserve">ubsidiary </w:t>
      </w:r>
      <w:r w:rsidR="00BC6914">
        <w:t>in a higher tax country</w:t>
      </w:r>
      <w:r w:rsidRPr="00AF32A1">
        <w:t xml:space="preserve">. The internal royalty payments artificially inflate </w:t>
      </w:r>
      <w:r w:rsidR="00D86E46">
        <w:t xml:space="preserve">the </w:t>
      </w:r>
      <w:r w:rsidR="00BC6914">
        <w:t>high-tax s</w:t>
      </w:r>
      <w:r w:rsidRPr="00AF32A1">
        <w:t>ubsidiary’s costs and therefore reduce its profits and tax liability and ultimately that of its parent corporation.</w:t>
      </w:r>
      <w:r w:rsidR="00BC6914">
        <w:t xml:space="preserve"> </w:t>
      </w:r>
      <w:r w:rsidRPr="0044760E">
        <w:t xml:space="preserve">For a more </w:t>
      </w:r>
      <w:hyperlink r:id="rId24" w:history="1">
        <w:r w:rsidRPr="007A18FE">
          <w:rPr>
            <w:rStyle w:val="Hyperlink"/>
          </w:rPr>
          <w:t>detailed CFC fact sheet go here</w:t>
        </w:r>
      </w:hyperlink>
      <w:r>
        <w:t>.</w:t>
      </w:r>
    </w:p>
    <w:p w14:paraId="765DEE13" w14:textId="77777777" w:rsidR="007B6FC8" w:rsidRDefault="007B6FC8" w:rsidP="00707ED7">
      <w:pPr>
        <w:spacing w:after="0"/>
        <w:contextualSpacing/>
      </w:pPr>
    </w:p>
    <w:p w14:paraId="0C835507" w14:textId="77777777" w:rsidR="00707ED7" w:rsidRDefault="00707ED7" w:rsidP="00707ED7">
      <w:pPr>
        <w:pStyle w:val="ListParagraph"/>
        <w:numPr>
          <w:ilvl w:val="0"/>
          <w:numId w:val="11"/>
        </w:numPr>
        <w:spacing w:after="0"/>
      </w:pPr>
      <w:r w:rsidRPr="00AF32A1">
        <w:rPr>
          <w:b/>
          <w:bCs/>
        </w:rPr>
        <w:t>Bo</w:t>
      </w:r>
      <w:r w:rsidR="00DE1B6E">
        <w:rPr>
          <w:b/>
          <w:bCs/>
        </w:rPr>
        <w:t>nus D</w:t>
      </w:r>
      <w:r w:rsidRPr="00AF32A1">
        <w:rPr>
          <w:b/>
          <w:bCs/>
        </w:rPr>
        <w:t>epreciation</w:t>
      </w:r>
      <w:r w:rsidRPr="00AF32A1">
        <w:t xml:space="preserve"> </w:t>
      </w:r>
      <w:r w:rsidR="001823E7">
        <w:t>(</w:t>
      </w:r>
      <w:hyperlink r:id="rId25" w:history="1">
        <w:r w:rsidR="001823E7" w:rsidRPr="00980E45">
          <w:rPr>
            <w:rStyle w:val="Hyperlink"/>
          </w:rPr>
          <w:t xml:space="preserve">$28 billion over </w:t>
        </w:r>
        <w:r w:rsidR="00BC6914">
          <w:rPr>
            <w:rStyle w:val="Hyperlink"/>
          </w:rPr>
          <w:t>six</w:t>
        </w:r>
        <w:r w:rsidR="001823E7" w:rsidRPr="00980E45">
          <w:rPr>
            <w:rStyle w:val="Hyperlink"/>
          </w:rPr>
          <w:t xml:space="preserve"> years</w:t>
        </w:r>
      </w:hyperlink>
      <w:r w:rsidR="00980E45">
        <w:t>)</w:t>
      </w:r>
      <w:r w:rsidR="00BC6914">
        <w:t>.</w:t>
      </w:r>
      <w:r w:rsidRPr="00AF32A1">
        <w:t xml:space="preserve"> This tax break was previously enacted to help stimulate the economy during two recent downturns, but its purported benefits are very limited. In a review of several studies the </w:t>
      </w:r>
      <w:hyperlink r:id="rId26" w:history="1">
        <w:r w:rsidRPr="00AF32A1">
          <w:rPr>
            <w:rStyle w:val="Hyperlink"/>
          </w:rPr>
          <w:t>Congressional Research Service</w:t>
        </w:r>
      </w:hyperlink>
      <w:r w:rsidRPr="00AF32A1">
        <w:t xml:space="preserve"> said “research suggests that bonus depreciation was not very effective.”</w:t>
      </w:r>
      <w:r w:rsidR="00BC6914">
        <w:t xml:space="preserve"> While the $28 billion loss of co</w:t>
      </w:r>
      <w:r w:rsidR="00BC6914" w:rsidRPr="007B6897">
        <w:rPr>
          <w:rFonts w:eastAsia="Times New Roman" w:cs="Arial"/>
          <w:bCs/>
          <w:color w:val="000000"/>
        </w:rPr>
        <w:t>rporate tax revenue</w:t>
      </w:r>
      <w:r w:rsidR="00BC6914">
        <w:rPr>
          <w:rFonts w:eastAsia="Times New Roman" w:cs="Arial"/>
          <w:bCs/>
          <w:color w:val="000000"/>
        </w:rPr>
        <w:t xml:space="preserve"> is a lot, the damage could have been </w:t>
      </w:r>
      <w:r w:rsidR="00C47212">
        <w:rPr>
          <w:rFonts w:eastAsia="Times New Roman" w:cs="Arial"/>
          <w:bCs/>
          <w:color w:val="000000"/>
        </w:rPr>
        <w:t xml:space="preserve">much </w:t>
      </w:r>
      <w:r w:rsidR="00D86E46">
        <w:rPr>
          <w:rFonts w:eastAsia="Times New Roman" w:cs="Arial"/>
          <w:bCs/>
          <w:color w:val="000000"/>
        </w:rPr>
        <w:t xml:space="preserve">worse </w:t>
      </w:r>
      <w:r w:rsidR="00C47212">
        <w:rPr>
          <w:rFonts w:eastAsia="Times New Roman" w:cs="Arial"/>
          <w:bCs/>
          <w:color w:val="000000"/>
        </w:rPr>
        <w:t>as</w:t>
      </w:r>
      <w:r w:rsidR="00BC6914">
        <w:rPr>
          <w:rFonts w:eastAsia="Times New Roman" w:cs="Arial"/>
          <w:bCs/>
          <w:color w:val="000000"/>
        </w:rPr>
        <w:t xml:space="preserve"> the House-passed version of this tax break cost 10 times as much – $280 billion. </w:t>
      </w:r>
      <w:r w:rsidRPr="0044760E">
        <w:t xml:space="preserve">For a more </w:t>
      </w:r>
      <w:hyperlink r:id="rId27" w:history="1">
        <w:r w:rsidRPr="007A18FE">
          <w:rPr>
            <w:rStyle w:val="Hyperlink"/>
          </w:rPr>
          <w:t>detailed bonus depreciation fact sheet go here</w:t>
        </w:r>
      </w:hyperlink>
      <w:r>
        <w:t>.</w:t>
      </w:r>
    </w:p>
    <w:p w14:paraId="2561A66A" w14:textId="77777777" w:rsidR="00707ED7" w:rsidRDefault="00707ED7" w:rsidP="00707ED7">
      <w:pPr>
        <w:spacing w:after="0"/>
        <w:contextualSpacing/>
      </w:pPr>
    </w:p>
    <w:p w14:paraId="2E3A052E" w14:textId="77777777" w:rsidR="00CF1B6F" w:rsidRPr="00AF32A1" w:rsidRDefault="00CF1B6F" w:rsidP="00CF1B6F">
      <w:pPr>
        <w:spacing w:after="0"/>
        <w:contextualSpacing/>
        <w:rPr>
          <w:b/>
        </w:rPr>
      </w:pPr>
      <w:r>
        <w:rPr>
          <w:b/>
        </w:rPr>
        <w:t>GOOD DECISIONS</w:t>
      </w:r>
    </w:p>
    <w:p w14:paraId="02E572EE" w14:textId="77777777" w:rsidR="00CF1B6F" w:rsidRPr="00627A18" w:rsidRDefault="00CF1B6F" w:rsidP="00CF1B6F">
      <w:pPr>
        <w:contextualSpacing/>
        <w:rPr>
          <w:rFonts w:ascii="Calibri" w:eastAsia="Calibri" w:hAnsi="Calibri" w:cs="Times New Roman"/>
        </w:rPr>
      </w:pPr>
      <w:r>
        <w:t xml:space="preserve">Advocates for working families were successful in their quest to </w:t>
      </w:r>
      <w:r>
        <w:rPr>
          <w:rFonts w:ascii="Calibri" w:eastAsia="Calibri" w:hAnsi="Calibri" w:cs="Times New Roman"/>
        </w:rPr>
        <w:t xml:space="preserve">secure </w:t>
      </w:r>
      <w:r w:rsidRPr="00627A18">
        <w:rPr>
          <w:rFonts w:ascii="Calibri" w:eastAsia="Calibri" w:hAnsi="Calibri" w:cs="Times New Roman"/>
        </w:rPr>
        <w:t>permanent improvements to two pro-work tax credits: the Earned Income Tax Credit a</w:t>
      </w:r>
      <w:r>
        <w:rPr>
          <w:rFonts w:ascii="Calibri" w:eastAsia="Calibri" w:hAnsi="Calibri" w:cs="Times New Roman"/>
        </w:rPr>
        <w:t>nd the Child Tax Credit. The EITC and CTC</w:t>
      </w:r>
      <w:r w:rsidRPr="00627A18">
        <w:rPr>
          <w:rFonts w:ascii="Calibri" w:eastAsia="Calibri" w:hAnsi="Calibri" w:cs="Times New Roman"/>
        </w:rPr>
        <w:t> are</w:t>
      </w:r>
      <w:r w:rsidRPr="00627A18" w:rsidDel="006019E5">
        <w:rPr>
          <w:rFonts w:ascii="Calibri" w:eastAsia="Calibri" w:hAnsi="Calibri" w:cs="Times New Roman"/>
        </w:rPr>
        <w:t xml:space="preserve"> </w:t>
      </w:r>
      <w:r w:rsidRPr="00627A18">
        <w:rPr>
          <w:rFonts w:ascii="Calibri" w:eastAsia="Calibri" w:hAnsi="Calibri" w:cs="Times New Roman"/>
        </w:rPr>
        <w:t xml:space="preserve">pro-work success stories and </w:t>
      </w:r>
      <w:r>
        <w:rPr>
          <w:rFonts w:ascii="Calibri" w:eastAsia="Calibri" w:hAnsi="Calibri" w:cs="Times New Roman"/>
        </w:rPr>
        <w:t xml:space="preserve">analysts say they are </w:t>
      </w:r>
      <w:r w:rsidRPr="00627A18">
        <w:rPr>
          <w:rFonts w:ascii="Calibri" w:eastAsia="Calibri" w:hAnsi="Calibri" w:cs="Times New Roman"/>
        </w:rPr>
        <w:t>among the most successful anti-poverty tools ever developed.</w:t>
      </w:r>
      <w:r>
        <w:rPr>
          <w:rFonts w:ascii="Calibri" w:eastAsia="Calibri" w:hAnsi="Calibri" w:cs="Times New Roman"/>
        </w:rPr>
        <w:t xml:space="preserve"> </w:t>
      </w:r>
    </w:p>
    <w:p w14:paraId="3776D74C" w14:textId="77777777" w:rsidR="00CF1B6F" w:rsidRPr="00AF32A1" w:rsidRDefault="00CF1B6F" w:rsidP="00CF1B6F">
      <w:pPr>
        <w:spacing w:after="0"/>
        <w:contextualSpacing/>
      </w:pPr>
    </w:p>
    <w:p w14:paraId="652E5959" w14:textId="77777777" w:rsidR="00CF1B6F" w:rsidRPr="00AF32A1" w:rsidRDefault="00CF1B6F" w:rsidP="00CF1B6F">
      <w:pPr>
        <w:spacing w:after="0"/>
        <w:contextualSpacing/>
      </w:pPr>
      <w:r w:rsidRPr="00AF32A1">
        <w:rPr>
          <w:rFonts w:cs="Arial"/>
          <w:color w:val="000000"/>
          <w:shd w:val="clear" w:color="auto" w:fill="FFFFFF"/>
        </w:rPr>
        <w:t xml:space="preserve">The EITC may be available to families </w:t>
      </w:r>
      <w:hyperlink r:id="rId28" w:history="1">
        <w:r w:rsidRPr="00AF32A1">
          <w:rPr>
            <w:rStyle w:val="Hyperlink"/>
            <w:rFonts w:cs="Arial"/>
            <w:shd w:val="clear" w:color="auto" w:fill="FFFFFF"/>
          </w:rPr>
          <w:t>with at least three children that make up to $52,000</w:t>
        </w:r>
      </w:hyperlink>
      <w:r>
        <w:rPr>
          <w:rStyle w:val="Hyperlink"/>
          <w:rFonts w:cs="Arial"/>
          <w:shd w:val="clear" w:color="auto" w:fill="FFFFFF"/>
        </w:rPr>
        <w:t xml:space="preserve"> annually</w:t>
      </w:r>
      <w:r w:rsidRPr="00AF32A1">
        <w:rPr>
          <w:rFonts w:cs="Arial"/>
          <w:color w:val="000000"/>
          <w:shd w:val="clear" w:color="auto" w:fill="FFFFFF"/>
        </w:rPr>
        <w:t xml:space="preserve">, and it provides a maximum tax credit of around $6,000. With the CTC, a parent can </w:t>
      </w:r>
      <w:hyperlink r:id="rId29" w:history="1">
        <w:r w:rsidRPr="00AF32A1">
          <w:rPr>
            <w:rStyle w:val="Hyperlink"/>
            <w:rFonts w:cs="Arial"/>
            <w:shd w:val="clear" w:color="auto" w:fill="FFFFFF"/>
          </w:rPr>
          <w:t>reduce their federal income tax by up to $1,000 for each child</w:t>
        </w:r>
      </w:hyperlink>
      <w:r w:rsidRPr="00AF32A1">
        <w:rPr>
          <w:rFonts w:cs="Arial"/>
          <w:color w:val="000000"/>
          <w:shd w:val="clear" w:color="auto" w:fill="FFFFFF"/>
        </w:rPr>
        <w:t xml:space="preserve"> under 17. The phase-out of the CTC begins at different </w:t>
      </w:r>
      <w:r w:rsidR="008F50F7">
        <w:rPr>
          <w:rFonts w:cs="Arial"/>
          <w:color w:val="000000"/>
          <w:shd w:val="clear" w:color="auto" w:fill="FFFFFF"/>
        </w:rPr>
        <w:t xml:space="preserve">income </w:t>
      </w:r>
      <w:r w:rsidRPr="00AF32A1">
        <w:rPr>
          <w:rFonts w:cs="Arial"/>
          <w:color w:val="000000"/>
          <w:shd w:val="clear" w:color="auto" w:fill="FFFFFF"/>
        </w:rPr>
        <w:t xml:space="preserve">ranges—from as low as $55,000 up to $110,000—depending on filing status. </w:t>
      </w:r>
    </w:p>
    <w:p w14:paraId="3E269AE7" w14:textId="77777777" w:rsidR="00CF1B6F" w:rsidRPr="00AF32A1" w:rsidRDefault="00CF1B6F" w:rsidP="00CF1B6F">
      <w:pPr>
        <w:spacing w:after="0"/>
        <w:contextualSpacing/>
      </w:pPr>
    </w:p>
    <w:p w14:paraId="6A115526" w14:textId="77777777" w:rsidR="00CF1B6F" w:rsidRPr="00AF32A1" w:rsidRDefault="00CF1B6F" w:rsidP="00CF1B6F">
      <w:pPr>
        <w:spacing w:after="0"/>
        <w:contextualSpacing/>
        <w:rPr>
          <w:rFonts w:cs="Arial"/>
          <w:color w:val="000000"/>
          <w:shd w:val="clear" w:color="auto" w:fill="FFFFFF"/>
        </w:rPr>
      </w:pPr>
      <w:r w:rsidRPr="00AF32A1">
        <w:rPr>
          <w:rFonts w:cs="Arial"/>
          <w:color w:val="000000"/>
          <w:shd w:val="clear" w:color="auto" w:fill="FFFFFF"/>
        </w:rPr>
        <w:t xml:space="preserve">Several </w:t>
      </w:r>
      <w:hyperlink r:id="rId30" w:history="1">
        <w:r w:rsidRPr="00AF32A1">
          <w:rPr>
            <w:rStyle w:val="Hyperlink"/>
            <w:rFonts w:cs="Arial"/>
            <w:shd w:val="clear" w:color="auto" w:fill="FFFFFF"/>
          </w:rPr>
          <w:t>k</w:t>
        </w:r>
        <w:r>
          <w:rPr>
            <w:rStyle w:val="Hyperlink"/>
            <w:rFonts w:cs="Arial"/>
            <w:shd w:val="clear" w:color="auto" w:fill="FFFFFF"/>
          </w:rPr>
          <w:t>ey features of the tax credits we</w:t>
        </w:r>
        <w:r w:rsidRPr="00AF32A1">
          <w:rPr>
            <w:rStyle w:val="Hyperlink"/>
            <w:rFonts w:cs="Arial"/>
            <w:shd w:val="clear" w:color="auto" w:fill="FFFFFF"/>
          </w:rPr>
          <w:t>re set to expire</w:t>
        </w:r>
      </w:hyperlink>
      <w:r w:rsidRPr="00AF32A1">
        <w:rPr>
          <w:rFonts w:cs="Arial"/>
          <w:color w:val="000000"/>
          <w:shd w:val="clear" w:color="auto" w:fill="FFFFFF"/>
        </w:rPr>
        <w:t xml:space="preserve"> in 2017. For example, a l</w:t>
      </w:r>
      <w:r>
        <w:rPr>
          <w:rFonts w:cs="Arial"/>
          <w:color w:val="000000"/>
          <w:shd w:val="clear" w:color="auto" w:fill="FFFFFF"/>
        </w:rPr>
        <w:t>ower CTC earnings exclusion would have</w:t>
      </w:r>
      <w:r w:rsidRPr="00AF32A1">
        <w:rPr>
          <w:rFonts w:cs="Arial"/>
          <w:color w:val="000000"/>
          <w:shd w:val="clear" w:color="auto" w:fill="FFFFFF"/>
        </w:rPr>
        <w:t xml:space="preserve"> end</w:t>
      </w:r>
      <w:r>
        <w:rPr>
          <w:rFonts w:cs="Arial"/>
          <w:color w:val="000000"/>
          <w:shd w:val="clear" w:color="auto" w:fill="FFFFFF"/>
        </w:rPr>
        <w:t>ed. The improvements allow</w:t>
      </w:r>
      <w:r w:rsidRPr="00AF32A1">
        <w:rPr>
          <w:rFonts w:cs="Arial"/>
          <w:color w:val="000000"/>
          <w:shd w:val="clear" w:color="auto" w:fill="FFFFFF"/>
        </w:rPr>
        <w:t xml:space="preserve"> millions of working families to earn a more adequate CTC and fewer working-poor families are shut out of the credit. Expiring provisions of the EITC are “marriage-penalty” relief and a larger EITC for families raising more than two children.</w:t>
      </w:r>
    </w:p>
    <w:p w14:paraId="35FC8CB7" w14:textId="77777777" w:rsidR="00CF1B6F" w:rsidRPr="00AF32A1" w:rsidRDefault="00CF1B6F" w:rsidP="00CF1B6F">
      <w:pPr>
        <w:spacing w:after="0"/>
        <w:contextualSpacing/>
      </w:pPr>
    </w:p>
    <w:p w14:paraId="34AF1043" w14:textId="77777777" w:rsidR="00CF1B6F" w:rsidRPr="00AF32A1" w:rsidRDefault="00CF1B6F" w:rsidP="00CF1B6F">
      <w:pPr>
        <w:spacing w:after="0"/>
        <w:contextualSpacing/>
      </w:pPr>
      <w:r w:rsidRPr="00AF32A1">
        <w:t xml:space="preserve">If these improvements </w:t>
      </w:r>
      <w:r>
        <w:t xml:space="preserve">were allowed to expire, it would have pushed </w:t>
      </w:r>
      <w:r w:rsidRPr="00AF32A1">
        <w:t xml:space="preserve">more than </w:t>
      </w:r>
      <w:hyperlink r:id="rId31" w:history="1">
        <w:r w:rsidRPr="00AF32A1">
          <w:rPr>
            <w:rStyle w:val="Hyperlink"/>
          </w:rPr>
          <w:t>16 million people</w:t>
        </w:r>
      </w:hyperlink>
      <w:r w:rsidRPr="00AF32A1">
        <w:t xml:space="preserve">—including about 8 million children—into poverty or deeper into poverty. </w:t>
      </w:r>
    </w:p>
    <w:p w14:paraId="3B0FB4A1" w14:textId="77777777" w:rsidR="00F10929" w:rsidRDefault="00F10929" w:rsidP="00707ED7">
      <w:pPr>
        <w:spacing w:after="0"/>
        <w:contextualSpacing/>
      </w:pPr>
    </w:p>
    <w:p w14:paraId="6491599B" w14:textId="77777777" w:rsidR="006C280B" w:rsidRDefault="006C280B">
      <w:pPr>
        <w:spacing w:line="276" w:lineRule="auto"/>
        <w:rPr>
          <w:rFonts w:ascii="Calibri" w:eastAsia="Calibri" w:hAnsi="Calibri" w:cs="Times New Roman"/>
          <w:b/>
        </w:rPr>
      </w:pPr>
      <w:r>
        <w:rPr>
          <w:rFonts w:ascii="Calibri" w:eastAsia="Calibri" w:hAnsi="Calibri" w:cs="Times New Roman"/>
          <w:b/>
        </w:rPr>
        <w:br w:type="page"/>
      </w:r>
    </w:p>
    <w:p w14:paraId="37277656" w14:textId="77777777" w:rsidR="000F5A43" w:rsidRPr="000F5A43" w:rsidRDefault="000F5A43" w:rsidP="00707ED7">
      <w:pPr>
        <w:spacing w:after="0"/>
        <w:contextualSpacing/>
        <w:rPr>
          <w:rFonts w:ascii="Calibri" w:eastAsia="Calibri" w:hAnsi="Calibri" w:cs="Times New Roman"/>
          <w:b/>
        </w:rPr>
      </w:pPr>
      <w:r>
        <w:rPr>
          <w:rFonts w:ascii="Calibri" w:eastAsia="Calibri" w:hAnsi="Calibri" w:cs="Times New Roman"/>
          <w:b/>
        </w:rPr>
        <w:lastRenderedPageBreak/>
        <w:t>MISSED OPPORTUNITY</w:t>
      </w:r>
    </w:p>
    <w:p w14:paraId="7FF391B6" w14:textId="77777777" w:rsidR="00446F3A" w:rsidRDefault="000F5A43" w:rsidP="00707ED7">
      <w:pPr>
        <w:spacing w:after="0"/>
        <w:contextualSpacing/>
      </w:pPr>
      <w:r>
        <w:rPr>
          <w:rFonts w:ascii="Calibri" w:eastAsia="Calibri" w:hAnsi="Calibri" w:cs="Times New Roman"/>
        </w:rPr>
        <w:t>Congress missed a</w:t>
      </w:r>
      <w:r w:rsidR="00FB34B8">
        <w:rPr>
          <w:rFonts w:ascii="Calibri" w:eastAsia="Calibri" w:hAnsi="Calibri" w:cs="Times New Roman"/>
        </w:rPr>
        <w:t xml:space="preserve"> golden opportunity to use this tax legislation to stem the wave of American corporations </w:t>
      </w:r>
      <w:r>
        <w:rPr>
          <w:rFonts w:ascii="Calibri" w:eastAsia="Calibri" w:hAnsi="Calibri" w:cs="Times New Roman"/>
        </w:rPr>
        <w:t xml:space="preserve">deserting the country in order to avoid their taxes. On the heels of </w:t>
      </w:r>
      <w:r w:rsidR="00987D40">
        <w:rPr>
          <w:rFonts w:ascii="Calibri" w:eastAsia="Calibri" w:hAnsi="Calibri" w:cs="Times New Roman"/>
        </w:rPr>
        <w:t>New York City-based Pfizer announcing it will merge with Allergan and officially become an Irish company, lawmakers could have used the tax extender package as a vehicle to</w:t>
      </w:r>
      <w:r>
        <w:rPr>
          <w:rFonts w:ascii="Calibri" w:eastAsia="Calibri" w:hAnsi="Calibri" w:cs="Times New Roman"/>
        </w:rPr>
        <w:t xml:space="preserve"> </w:t>
      </w:r>
      <w:r w:rsidR="00FB34B8">
        <w:rPr>
          <w:rFonts w:ascii="Calibri" w:eastAsia="Calibri" w:hAnsi="Calibri" w:cs="Times New Roman"/>
        </w:rPr>
        <w:t>close</w:t>
      </w:r>
      <w:r w:rsidR="00446F3A" w:rsidRPr="00627A18">
        <w:rPr>
          <w:rFonts w:ascii="Calibri" w:eastAsia="Calibri" w:hAnsi="Calibri" w:cs="Times New Roman"/>
        </w:rPr>
        <w:t xml:space="preserve"> the corporate inversion loophole. By letting the inversion loophole stand, </w:t>
      </w:r>
      <w:r w:rsidR="00987D40">
        <w:rPr>
          <w:rFonts w:ascii="Calibri" w:eastAsia="Calibri" w:hAnsi="Calibri" w:cs="Times New Roman"/>
        </w:rPr>
        <w:t xml:space="preserve">once </w:t>
      </w:r>
      <w:r w:rsidR="00446F3A" w:rsidRPr="00627A18">
        <w:rPr>
          <w:rFonts w:ascii="Calibri" w:eastAsia="Calibri" w:hAnsi="Calibri" w:cs="Times New Roman"/>
        </w:rPr>
        <w:t xml:space="preserve">Pfizer </w:t>
      </w:r>
      <w:r w:rsidR="00987D40">
        <w:rPr>
          <w:rFonts w:ascii="Calibri" w:eastAsia="Calibri" w:hAnsi="Calibri" w:cs="Times New Roman"/>
        </w:rPr>
        <w:t xml:space="preserve">becomes Irish, it </w:t>
      </w:r>
      <w:r w:rsidR="00446F3A" w:rsidRPr="00627A18">
        <w:rPr>
          <w:rFonts w:ascii="Calibri" w:eastAsia="Calibri" w:hAnsi="Calibri" w:cs="Times New Roman"/>
        </w:rPr>
        <w:t xml:space="preserve">will be able to dodge tens of billions of dollars in taxes it owes on the </w:t>
      </w:r>
      <w:hyperlink r:id="rId32" w:history="1">
        <w:r w:rsidR="00446F3A" w:rsidRPr="00627A18">
          <w:rPr>
            <w:rFonts w:ascii="Calibri" w:eastAsia="Calibri" w:hAnsi="Calibri" w:cs="Times New Roman"/>
            <w:color w:val="0000FF"/>
            <w:u w:val="single"/>
          </w:rPr>
          <w:t>$140 billion in profits it has stashed offshore</w:t>
        </w:r>
      </w:hyperlink>
      <w:r w:rsidR="00446F3A" w:rsidRPr="00627A18">
        <w:rPr>
          <w:rFonts w:ascii="Calibri" w:eastAsia="Calibri" w:hAnsi="Calibri" w:cs="Times New Roman"/>
        </w:rPr>
        <w:t>, all or most of which is in tax havens.</w:t>
      </w:r>
    </w:p>
    <w:p w14:paraId="3E29F678" w14:textId="77777777" w:rsidR="00446F3A" w:rsidRDefault="00446F3A" w:rsidP="00707ED7">
      <w:pPr>
        <w:spacing w:after="0"/>
        <w:contextualSpacing/>
      </w:pPr>
    </w:p>
    <w:p w14:paraId="1E699859" w14:textId="77777777" w:rsidR="000D5D1F" w:rsidRPr="00AF32A1" w:rsidRDefault="00CE3E30" w:rsidP="00CE3E30">
      <w:pPr>
        <w:spacing w:after="0"/>
        <w:jc w:val="center"/>
      </w:pPr>
      <w:r>
        <w:t>###</w:t>
      </w:r>
    </w:p>
    <w:p w14:paraId="5406415B" w14:textId="77777777" w:rsidR="0065648B" w:rsidRPr="00AF32A1" w:rsidRDefault="0065648B" w:rsidP="000D5D1F">
      <w:pPr>
        <w:spacing w:after="0"/>
      </w:pPr>
    </w:p>
    <w:p w14:paraId="7C1E900E" w14:textId="77777777" w:rsidR="00686706" w:rsidRPr="001758C8" w:rsidRDefault="00686706" w:rsidP="005C53CE">
      <w:pPr>
        <w:spacing w:after="0"/>
        <w:rPr>
          <w:sz w:val="22"/>
          <w:szCs w:val="22"/>
        </w:rPr>
      </w:pPr>
      <w:r w:rsidRPr="001758C8">
        <w:rPr>
          <w:b/>
          <w:i/>
          <w:sz w:val="22"/>
          <w:szCs w:val="22"/>
          <w:highlight w:val="white"/>
        </w:rPr>
        <w:t>Americans for Tax Fairness</w:t>
      </w:r>
      <w:r w:rsidRPr="001758C8">
        <w:rPr>
          <w:i/>
          <w:sz w:val="22"/>
          <w:szCs w:val="22"/>
          <w:highlight w:val="white"/>
        </w:rPr>
        <w:t xml:space="preserve"> is a diverse coalition of </w:t>
      </w:r>
      <w:hyperlink r:id="rId33">
        <w:r w:rsidRPr="001758C8">
          <w:rPr>
            <w:i/>
            <w:color w:val="1155CC"/>
            <w:sz w:val="22"/>
            <w:szCs w:val="22"/>
            <w:highlight w:val="white"/>
            <w:u w:val="single"/>
          </w:rPr>
          <w:t>425 national and state endorsing organizations</w:t>
        </w:r>
      </w:hyperlink>
      <w:r w:rsidRPr="001758C8">
        <w:rPr>
          <w:i/>
          <w:color w:val="505050"/>
          <w:sz w:val="22"/>
          <w:szCs w:val="22"/>
          <w:highlight w:val="white"/>
        </w:rPr>
        <w:t xml:space="preserve"> </w:t>
      </w:r>
      <w:r w:rsidRPr="001758C8">
        <w:rPr>
          <w:i/>
          <w:sz w:val="22"/>
          <w:szCs w:val="22"/>
          <w:highlight w:val="white"/>
        </w:rPr>
        <w:t>that</w:t>
      </w:r>
      <w:r w:rsidRPr="001758C8">
        <w:rPr>
          <w:i/>
          <w:color w:val="505050"/>
          <w:sz w:val="22"/>
          <w:szCs w:val="22"/>
          <w:highlight w:val="white"/>
        </w:rPr>
        <w:t xml:space="preserve"> </w:t>
      </w:r>
      <w:r w:rsidRPr="001758C8">
        <w:rPr>
          <w:i/>
          <w:sz w:val="22"/>
          <w:szCs w:val="22"/>
          <w:highlight w:val="white"/>
        </w:rPr>
        <w:t>collectively represent tens of millions of members. The organization was formed on the belief that the country needs comprehensive, progressive tax reform that results in greater revenue to meet our growing needs. ATF is playing a central role in Washington and in the states on federal tax-reform issues.</w:t>
      </w:r>
    </w:p>
    <w:sectPr w:rsidR="00686706" w:rsidRPr="001758C8" w:rsidSect="002F6779">
      <w:footerReference w:type="default" r:id="rId34"/>
      <w:footerReference w:type="first" r:id="rId35"/>
      <w:pgSz w:w="12240" w:h="15840"/>
      <w:pgMar w:top="1440" w:right="1440" w:bottom="72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05B8A9" w15:done="0"/>
  <w15:commentEx w15:paraId="7B8A0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15C4D" w14:textId="77777777" w:rsidR="0015025F" w:rsidRDefault="0015025F" w:rsidP="005C53CE">
      <w:pPr>
        <w:spacing w:after="0"/>
      </w:pPr>
      <w:r>
        <w:separator/>
      </w:r>
    </w:p>
  </w:endnote>
  <w:endnote w:type="continuationSeparator" w:id="0">
    <w:p w14:paraId="5BA264FF" w14:textId="77777777" w:rsidR="0015025F" w:rsidRDefault="0015025F" w:rsidP="005C5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4604"/>
      <w:docPartObj>
        <w:docPartGallery w:val="Page Numbers (Bottom of Page)"/>
        <w:docPartUnique/>
      </w:docPartObj>
    </w:sdtPr>
    <w:sdtEndPr>
      <w:rPr>
        <w:noProof/>
      </w:rPr>
    </w:sdtEndPr>
    <w:sdtContent>
      <w:p w14:paraId="463632C3" w14:textId="29ED492C" w:rsidR="002F6779" w:rsidRDefault="002F6779">
        <w:pPr>
          <w:pStyle w:val="Footer"/>
          <w:jc w:val="right"/>
        </w:pPr>
        <w:r>
          <w:fldChar w:fldCharType="begin"/>
        </w:r>
        <w:r>
          <w:instrText xml:space="preserve"> PAGE   \* MERGEFORMAT </w:instrText>
        </w:r>
        <w:r>
          <w:fldChar w:fldCharType="separate"/>
        </w:r>
        <w:r w:rsidR="00B572FC">
          <w:rPr>
            <w:noProof/>
          </w:rPr>
          <w:t>2</w:t>
        </w:r>
        <w:r>
          <w:rPr>
            <w:noProof/>
          </w:rPr>
          <w:fldChar w:fldCharType="end"/>
        </w:r>
        <w:r>
          <w:rPr>
            <w:noProof/>
          </w:rPr>
          <w:t xml:space="preserve"> of 4</w:t>
        </w:r>
      </w:p>
    </w:sdtContent>
  </w:sdt>
  <w:p w14:paraId="73EE3887" w14:textId="77777777" w:rsidR="005C53CE" w:rsidRDefault="005C5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885B" w14:textId="4A68EE19" w:rsidR="005475F3" w:rsidRDefault="005475F3">
    <w:pPr>
      <w:pStyle w:val="Footer"/>
      <w:jc w:val="right"/>
    </w:pPr>
  </w:p>
  <w:p w14:paraId="7B65919C" w14:textId="77777777" w:rsidR="005475F3" w:rsidRDefault="0054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E7407" w14:textId="77777777" w:rsidR="0015025F" w:rsidRDefault="0015025F" w:rsidP="005C53CE">
      <w:pPr>
        <w:spacing w:after="0"/>
      </w:pPr>
      <w:r>
        <w:separator/>
      </w:r>
    </w:p>
  </w:footnote>
  <w:footnote w:type="continuationSeparator" w:id="0">
    <w:p w14:paraId="3095B8AB" w14:textId="77777777" w:rsidR="0015025F" w:rsidRDefault="0015025F" w:rsidP="005C53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0F7"/>
    <w:multiLevelType w:val="hybridMultilevel"/>
    <w:tmpl w:val="419C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2127D"/>
    <w:multiLevelType w:val="multilevel"/>
    <w:tmpl w:val="0409001D"/>
    <w:styleLink w:val="Standard"/>
    <w:lvl w:ilvl="0">
      <w:start w:val="1"/>
      <w:numFmt w:val="upperRoman"/>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0D0CF3"/>
    <w:multiLevelType w:val="hybridMultilevel"/>
    <w:tmpl w:val="2EF843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D8046D"/>
    <w:multiLevelType w:val="hybridMultilevel"/>
    <w:tmpl w:val="C9D4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0418B"/>
    <w:multiLevelType w:val="hybridMultilevel"/>
    <w:tmpl w:val="51BCF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410938"/>
    <w:multiLevelType w:val="multilevel"/>
    <w:tmpl w:val="0409001D"/>
    <w:styleLink w:val="Style2"/>
    <w:lvl w:ilvl="0">
      <w:start w:val="1"/>
      <w:numFmt w:val="upperRoman"/>
      <w:lvlText w:val="%1)"/>
      <w:lvlJc w:val="left"/>
      <w:pPr>
        <w:ind w:left="360" w:hanging="360"/>
      </w:pPr>
      <w:rPr>
        <w:rFonts w:ascii="Calibri" w:hAnsi="Calibri"/>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6476B7"/>
    <w:multiLevelType w:val="hybridMultilevel"/>
    <w:tmpl w:val="2142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C01F3"/>
    <w:multiLevelType w:val="hybridMultilevel"/>
    <w:tmpl w:val="410E3F52"/>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83025"/>
    <w:multiLevelType w:val="hybridMultilevel"/>
    <w:tmpl w:val="C308B7B6"/>
    <w:lvl w:ilvl="0" w:tplc="70828C38">
      <w:start w:val="1"/>
      <w:numFmt w:val="bullet"/>
      <w:lvlText w:val="o"/>
      <w:lvlJc w:val="left"/>
      <w:pPr>
        <w:ind w:left="720" w:hanging="360"/>
      </w:pPr>
      <w:rPr>
        <w:rFonts w:asciiTheme="minorHAnsi" w:hAnsiTheme="minorHAnsi"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934CC"/>
    <w:multiLevelType w:val="hybridMultilevel"/>
    <w:tmpl w:val="86BC4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1D2DAE"/>
    <w:multiLevelType w:val="hybridMultilevel"/>
    <w:tmpl w:val="EEEC7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3163CB"/>
    <w:multiLevelType w:val="multilevel"/>
    <w:tmpl w:val="04090027"/>
    <w:styleLink w:val="Style1"/>
    <w:lvl w:ilvl="0">
      <w:start w:val="1"/>
      <w:numFmt w:val="upperRoman"/>
      <w:lvlText w:val="%1."/>
      <w:lvlJc w:val="left"/>
      <w:pPr>
        <w:ind w:left="0" w:firstLine="0"/>
      </w:pPr>
      <w:rPr>
        <w:rFonts w:ascii="Calibri" w:hAnsi="Calibri"/>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5"/>
  </w:num>
  <w:num w:numId="3">
    <w:abstractNumId w:val="1"/>
  </w:num>
  <w:num w:numId="4">
    <w:abstractNumId w:val="3"/>
  </w:num>
  <w:num w:numId="5">
    <w:abstractNumId w:val="2"/>
  </w:num>
  <w:num w:numId="6">
    <w:abstractNumId w:val="9"/>
  </w:num>
  <w:num w:numId="7">
    <w:abstractNumId w:val="4"/>
  </w:num>
  <w:num w:numId="8">
    <w:abstractNumId w:val="10"/>
  </w:num>
  <w:num w:numId="9">
    <w:abstractNumId w:val="7"/>
  </w:num>
  <w:num w:numId="10">
    <w:abstractNumId w:val="8"/>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Eckstein">
    <w15:presenceInfo w15:providerId="Windows Live" w15:userId="8ecdac1cce3d8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D3"/>
    <w:rsid w:val="00036B39"/>
    <w:rsid w:val="00041CE1"/>
    <w:rsid w:val="000A0C1B"/>
    <w:rsid w:val="000A39C2"/>
    <w:rsid w:val="000A44FB"/>
    <w:rsid w:val="000D5D1F"/>
    <w:rsid w:val="000F5A43"/>
    <w:rsid w:val="00111065"/>
    <w:rsid w:val="0015025F"/>
    <w:rsid w:val="001758C8"/>
    <w:rsid w:val="001823E7"/>
    <w:rsid w:val="001A38D2"/>
    <w:rsid w:val="001A480E"/>
    <w:rsid w:val="001B58BC"/>
    <w:rsid w:val="00200023"/>
    <w:rsid w:val="00202DA3"/>
    <w:rsid w:val="00214B95"/>
    <w:rsid w:val="00267FB2"/>
    <w:rsid w:val="0027216B"/>
    <w:rsid w:val="002B4152"/>
    <w:rsid w:val="002B4F2E"/>
    <w:rsid w:val="002F4C67"/>
    <w:rsid w:val="002F6779"/>
    <w:rsid w:val="003262EC"/>
    <w:rsid w:val="00337AB0"/>
    <w:rsid w:val="003429A9"/>
    <w:rsid w:val="00344E67"/>
    <w:rsid w:val="00366BE7"/>
    <w:rsid w:val="0039356E"/>
    <w:rsid w:val="003F4B7B"/>
    <w:rsid w:val="004227A5"/>
    <w:rsid w:val="004366E2"/>
    <w:rsid w:val="0044453B"/>
    <w:rsid w:val="00446F3A"/>
    <w:rsid w:val="00464410"/>
    <w:rsid w:val="00482DA1"/>
    <w:rsid w:val="004F641F"/>
    <w:rsid w:val="00504567"/>
    <w:rsid w:val="00512E05"/>
    <w:rsid w:val="0052637B"/>
    <w:rsid w:val="00533F0F"/>
    <w:rsid w:val="005475F3"/>
    <w:rsid w:val="00555448"/>
    <w:rsid w:val="00561A26"/>
    <w:rsid w:val="005649B4"/>
    <w:rsid w:val="00577427"/>
    <w:rsid w:val="005C53CE"/>
    <w:rsid w:val="006202D3"/>
    <w:rsid w:val="006311F0"/>
    <w:rsid w:val="0065648B"/>
    <w:rsid w:val="00686706"/>
    <w:rsid w:val="00687FBA"/>
    <w:rsid w:val="006946D1"/>
    <w:rsid w:val="006C280B"/>
    <w:rsid w:val="0070193D"/>
    <w:rsid w:val="00704FF8"/>
    <w:rsid w:val="00707ED7"/>
    <w:rsid w:val="00710C21"/>
    <w:rsid w:val="007310C6"/>
    <w:rsid w:val="00781DC5"/>
    <w:rsid w:val="007B6FC8"/>
    <w:rsid w:val="007B7D64"/>
    <w:rsid w:val="007E1D85"/>
    <w:rsid w:val="007F607E"/>
    <w:rsid w:val="0083375B"/>
    <w:rsid w:val="00847D36"/>
    <w:rsid w:val="008632FF"/>
    <w:rsid w:val="008D1480"/>
    <w:rsid w:val="008F1A0D"/>
    <w:rsid w:val="008F4BED"/>
    <w:rsid w:val="008F50F7"/>
    <w:rsid w:val="0090234B"/>
    <w:rsid w:val="0092773B"/>
    <w:rsid w:val="00942801"/>
    <w:rsid w:val="00980E45"/>
    <w:rsid w:val="009812BB"/>
    <w:rsid w:val="00987D40"/>
    <w:rsid w:val="009938B1"/>
    <w:rsid w:val="009C37C8"/>
    <w:rsid w:val="00A0269B"/>
    <w:rsid w:val="00A027C0"/>
    <w:rsid w:val="00A1138C"/>
    <w:rsid w:val="00A5209B"/>
    <w:rsid w:val="00A5363D"/>
    <w:rsid w:val="00A60EA7"/>
    <w:rsid w:val="00A74E8D"/>
    <w:rsid w:val="00AE34A6"/>
    <w:rsid w:val="00AF32A1"/>
    <w:rsid w:val="00B05513"/>
    <w:rsid w:val="00B55DAC"/>
    <w:rsid w:val="00B572FC"/>
    <w:rsid w:val="00B706E7"/>
    <w:rsid w:val="00BA0403"/>
    <w:rsid w:val="00BA1A31"/>
    <w:rsid w:val="00BB5E2F"/>
    <w:rsid w:val="00BB6E14"/>
    <w:rsid w:val="00BC220D"/>
    <w:rsid w:val="00BC6914"/>
    <w:rsid w:val="00BC7EEC"/>
    <w:rsid w:val="00BE7607"/>
    <w:rsid w:val="00C41ACE"/>
    <w:rsid w:val="00C47212"/>
    <w:rsid w:val="00CA063B"/>
    <w:rsid w:val="00CA0A54"/>
    <w:rsid w:val="00CD13FF"/>
    <w:rsid w:val="00CD58D7"/>
    <w:rsid w:val="00CE3E30"/>
    <w:rsid w:val="00CF1B6F"/>
    <w:rsid w:val="00CF3849"/>
    <w:rsid w:val="00D006AD"/>
    <w:rsid w:val="00D02175"/>
    <w:rsid w:val="00D11AB1"/>
    <w:rsid w:val="00D5388A"/>
    <w:rsid w:val="00D6161E"/>
    <w:rsid w:val="00D75B34"/>
    <w:rsid w:val="00D81450"/>
    <w:rsid w:val="00D86E46"/>
    <w:rsid w:val="00DC1101"/>
    <w:rsid w:val="00DD0A7F"/>
    <w:rsid w:val="00DD2B54"/>
    <w:rsid w:val="00DE1B6E"/>
    <w:rsid w:val="00E141E8"/>
    <w:rsid w:val="00E423A6"/>
    <w:rsid w:val="00E53AAE"/>
    <w:rsid w:val="00E573E5"/>
    <w:rsid w:val="00E6629A"/>
    <w:rsid w:val="00E92952"/>
    <w:rsid w:val="00EE0675"/>
    <w:rsid w:val="00EF4909"/>
    <w:rsid w:val="00F05FBF"/>
    <w:rsid w:val="00F10929"/>
    <w:rsid w:val="00F41901"/>
    <w:rsid w:val="00F54B65"/>
    <w:rsid w:val="00F64C10"/>
    <w:rsid w:val="00F90F57"/>
    <w:rsid w:val="00FB2937"/>
    <w:rsid w:val="00FB34B8"/>
    <w:rsid w:val="00FC2BE8"/>
    <w:rsid w:val="00FE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7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D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0269B"/>
    <w:pPr>
      <w:numPr>
        <w:numId w:val="1"/>
      </w:numPr>
    </w:pPr>
  </w:style>
  <w:style w:type="numbering" w:customStyle="1" w:styleId="Style2">
    <w:name w:val="Style2"/>
    <w:rsid w:val="00A0269B"/>
    <w:pPr>
      <w:numPr>
        <w:numId w:val="2"/>
      </w:numPr>
    </w:pPr>
  </w:style>
  <w:style w:type="numbering" w:customStyle="1" w:styleId="Standard">
    <w:name w:val="Standard"/>
    <w:uiPriority w:val="99"/>
    <w:rsid w:val="00A0269B"/>
    <w:pPr>
      <w:numPr>
        <w:numId w:val="3"/>
      </w:numPr>
    </w:pPr>
  </w:style>
  <w:style w:type="character" w:styleId="Hyperlink">
    <w:name w:val="Hyperlink"/>
    <w:basedOn w:val="DefaultParagraphFont"/>
    <w:unhideWhenUsed/>
    <w:rsid w:val="006202D3"/>
    <w:rPr>
      <w:color w:val="0000FF"/>
      <w:u w:val="single"/>
    </w:rPr>
  </w:style>
  <w:style w:type="paragraph" w:styleId="Title">
    <w:name w:val="Title"/>
    <w:basedOn w:val="Normal"/>
    <w:next w:val="Normal"/>
    <w:link w:val="TitleChar"/>
    <w:uiPriority w:val="10"/>
    <w:qFormat/>
    <w:rsid w:val="006202D3"/>
    <w:pPr>
      <w:jc w:val="center"/>
    </w:pPr>
    <w:rPr>
      <w:rFonts w:ascii="Calibri" w:hAnsi="Calibri"/>
      <w:b/>
      <w:bCs/>
      <w:kern w:val="36"/>
      <w:sz w:val="28"/>
      <w:szCs w:val="28"/>
    </w:rPr>
  </w:style>
  <w:style w:type="character" w:customStyle="1" w:styleId="TitleChar">
    <w:name w:val="Title Char"/>
    <w:basedOn w:val="DefaultParagraphFont"/>
    <w:link w:val="Title"/>
    <w:uiPriority w:val="10"/>
    <w:rsid w:val="006202D3"/>
    <w:rPr>
      <w:rFonts w:ascii="Calibri" w:hAnsi="Calibri"/>
      <w:b/>
      <w:bCs/>
      <w:kern w:val="36"/>
      <w:sz w:val="28"/>
      <w:szCs w:val="28"/>
    </w:rPr>
  </w:style>
  <w:style w:type="paragraph" w:styleId="Subtitle">
    <w:name w:val="Subtitle"/>
    <w:basedOn w:val="Normal"/>
    <w:next w:val="Normal"/>
    <w:link w:val="SubtitleChar"/>
    <w:uiPriority w:val="11"/>
    <w:qFormat/>
    <w:rsid w:val="006202D3"/>
    <w:pPr>
      <w:spacing w:before="280"/>
      <w:jc w:val="center"/>
    </w:pPr>
    <w:rPr>
      <w:rFonts w:ascii="Calibri" w:hAnsi="Calibri"/>
      <w:b/>
      <w:bCs/>
      <w:i/>
      <w:kern w:val="36"/>
      <w:sz w:val="28"/>
      <w:szCs w:val="28"/>
    </w:rPr>
  </w:style>
  <w:style w:type="character" w:customStyle="1" w:styleId="SubtitleChar">
    <w:name w:val="Subtitle Char"/>
    <w:basedOn w:val="DefaultParagraphFont"/>
    <w:link w:val="Subtitle"/>
    <w:uiPriority w:val="11"/>
    <w:rsid w:val="006202D3"/>
    <w:rPr>
      <w:rFonts w:ascii="Calibri" w:hAnsi="Calibri"/>
      <w:b/>
      <w:bCs/>
      <w:i/>
      <w:kern w:val="36"/>
      <w:sz w:val="28"/>
      <w:szCs w:val="28"/>
    </w:rPr>
  </w:style>
  <w:style w:type="paragraph" w:styleId="BalloonText">
    <w:name w:val="Balloon Text"/>
    <w:basedOn w:val="Normal"/>
    <w:link w:val="BalloonTextChar"/>
    <w:uiPriority w:val="99"/>
    <w:semiHidden/>
    <w:unhideWhenUsed/>
    <w:rsid w:val="006202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D3"/>
    <w:rPr>
      <w:rFonts w:ascii="Tahoma" w:hAnsi="Tahoma" w:cs="Tahoma"/>
      <w:sz w:val="16"/>
      <w:szCs w:val="16"/>
    </w:rPr>
  </w:style>
  <w:style w:type="paragraph" w:styleId="ListParagraph">
    <w:name w:val="List Paragraph"/>
    <w:basedOn w:val="Normal"/>
    <w:link w:val="ListParagraphChar"/>
    <w:uiPriority w:val="99"/>
    <w:qFormat/>
    <w:rsid w:val="00F05FBF"/>
    <w:pPr>
      <w:ind w:left="720"/>
      <w:contextualSpacing/>
    </w:pPr>
  </w:style>
  <w:style w:type="character" w:styleId="FollowedHyperlink">
    <w:name w:val="FollowedHyperlink"/>
    <w:basedOn w:val="DefaultParagraphFont"/>
    <w:uiPriority w:val="99"/>
    <w:semiHidden/>
    <w:unhideWhenUsed/>
    <w:rsid w:val="00704FF8"/>
    <w:rPr>
      <w:color w:val="800080" w:themeColor="followedHyperlink"/>
      <w:u w:val="single"/>
    </w:rPr>
  </w:style>
  <w:style w:type="character" w:styleId="CommentReference">
    <w:name w:val="annotation reference"/>
    <w:basedOn w:val="DefaultParagraphFont"/>
    <w:uiPriority w:val="99"/>
    <w:semiHidden/>
    <w:unhideWhenUsed/>
    <w:rsid w:val="00E573E5"/>
    <w:rPr>
      <w:sz w:val="16"/>
      <w:szCs w:val="16"/>
    </w:rPr>
  </w:style>
  <w:style w:type="paragraph" w:styleId="CommentText">
    <w:name w:val="annotation text"/>
    <w:basedOn w:val="Normal"/>
    <w:link w:val="CommentTextChar"/>
    <w:uiPriority w:val="99"/>
    <w:unhideWhenUsed/>
    <w:rsid w:val="00E573E5"/>
    <w:rPr>
      <w:sz w:val="20"/>
      <w:szCs w:val="20"/>
    </w:rPr>
  </w:style>
  <w:style w:type="character" w:customStyle="1" w:styleId="CommentTextChar">
    <w:name w:val="Comment Text Char"/>
    <w:basedOn w:val="DefaultParagraphFont"/>
    <w:link w:val="CommentText"/>
    <w:uiPriority w:val="99"/>
    <w:rsid w:val="00E573E5"/>
    <w:rPr>
      <w:sz w:val="20"/>
      <w:szCs w:val="20"/>
    </w:rPr>
  </w:style>
  <w:style w:type="paragraph" w:styleId="CommentSubject">
    <w:name w:val="annotation subject"/>
    <w:basedOn w:val="CommentText"/>
    <w:next w:val="CommentText"/>
    <w:link w:val="CommentSubjectChar"/>
    <w:uiPriority w:val="99"/>
    <w:semiHidden/>
    <w:unhideWhenUsed/>
    <w:rsid w:val="00E573E5"/>
    <w:rPr>
      <w:b/>
      <w:bCs/>
    </w:rPr>
  </w:style>
  <w:style w:type="character" w:customStyle="1" w:styleId="CommentSubjectChar">
    <w:name w:val="Comment Subject Char"/>
    <w:basedOn w:val="CommentTextChar"/>
    <w:link w:val="CommentSubject"/>
    <w:uiPriority w:val="99"/>
    <w:semiHidden/>
    <w:rsid w:val="00E573E5"/>
    <w:rPr>
      <w:b/>
      <w:bCs/>
      <w:sz w:val="20"/>
      <w:szCs w:val="20"/>
    </w:rPr>
  </w:style>
  <w:style w:type="paragraph" w:styleId="Revision">
    <w:name w:val="Revision"/>
    <w:hidden/>
    <w:uiPriority w:val="99"/>
    <w:semiHidden/>
    <w:rsid w:val="00464410"/>
    <w:pPr>
      <w:spacing w:after="0" w:line="240" w:lineRule="auto"/>
    </w:pPr>
    <w:rPr>
      <w:sz w:val="24"/>
      <w:szCs w:val="24"/>
    </w:rPr>
  </w:style>
  <w:style w:type="character" w:customStyle="1" w:styleId="ListParagraphChar">
    <w:name w:val="List Paragraph Char"/>
    <w:link w:val="ListParagraph"/>
    <w:uiPriority w:val="99"/>
    <w:locked/>
    <w:rsid w:val="00AF32A1"/>
    <w:rPr>
      <w:sz w:val="24"/>
      <w:szCs w:val="24"/>
    </w:rPr>
  </w:style>
  <w:style w:type="paragraph" w:styleId="Header">
    <w:name w:val="header"/>
    <w:basedOn w:val="Normal"/>
    <w:link w:val="HeaderChar"/>
    <w:uiPriority w:val="99"/>
    <w:unhideWhenUsed/>
    <w:rsid w:val="005C53CE"/>
    <w:pPr>
      <w:tabs>
        <w:tab w:val="center" w:pos="4680"/>
        <w:tab w:val="right" w:pos="9360"/>
      </w:tabs>
      <w:spacing w:after="0"/>
    </w:pPr>
  </w:style>
  <w:style w:type="character" w:customStyle="1" w:styleId="HeaderChar">
    <w:name w:val="Header Char"/>
    <w:basedOn w:val="DefaultParagraphFont"/>
    <w:link w:val="Header"/>
    <w:uiPriority w:val="99"/>
    <w:rsid w:val="005C53CE"/>
    <w:rPr>
      <w:sz w:val="24"/>
      <w:szCs w:val="24"/>
    </w:rPr>
  </w:style>
  <w:style w:type="paragraph" w:styleId="Footer">
    <w:name w:val="footer"/>
    <w:basedOn w:val="Normal"/>
    <w:link w:val="FooterChar"/>
    <w:uiPriority w:val="99"/>
    <w:unhideWhenUsed/>
    <w:rsid w:val="005C53CE"/>
    <w:pPr>
      <w:tabs>
        <w:tab w:val="center" w:pos="4680"/>
        <w:tab w:val="right" w:pos="9360"/>
      </w:tabs>
      <w:spacing w:after="0"/>
    </w:pPr>
  </w:style>
  <w:style w:type="character" w:customStyle="1" w:styleId="FooterChar">
    <w:name w:val="Footer Char"/>
    <w:basedOn w:val="DefaultParagraphFont"/>
    <w:link w:val="Footer"/>
    <w:uiPriority w:val="99"/>
    <w:rsid w:val="005C53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D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0269B"/>
    <w:pPr>
      <w:numPr>
        <w:numId w:val="1"/>
      </w:numPr>
    </w:pPr>
  </w:style>
  <w:style w:type="numbering" w:customStyle="1" w:styleId="Style2">
    <w:name w:val="Style2"/>
    <w:rsid w:val="00A0269B"/>
    <w:pPr>
      <w:numPr>
        <w:numId w:val="2"/>
      </w:numPr>
    </w:pPr>
  </w:style>
  <w:style w:type="numbering" w:customStyle="1" w:styleId="Standard">
    <w:name w:val="Standard"/>
    <w:uiPriority w:val="99"/>
    <w:rsid w:val="00A0269B"/>
    <w:pPr>
      <w:numPr>
        <w:numId w:val="3"/>
      </w:numPr>
    </w:pPr>
  </w:style>
  <w:style w:type="character" w:styleId="Hyperlink">
    <w:name w:val="Hyperlink"/>
    <w:basedOn w:val="DefaultParagraphFont"/>
    <w:unhideWhenUsed/>
    <w:rsid w:val="006202D3"/>
    <w:rPr>
      <w:color w:val="0000FF"/>
      <w:u w:val="single"/>
    </w:rPr>
  </w:style>
  <w:style w:type="paragraph" w:styleId="Title">
    <w:name w:val="Title"/>
    <w:basedOn w:val="Normal"/>
    <w:next w:val="Normal"/>
    <w:link w:val="TitleChar"/>
    <w:uiPriority w:val="10"/>
    <w:qFormat/>
    <w:rsid w:val="006202D3"/>
    <w:pPr>
      <w:jc w:val="center"/>
    </w:pPr>
    <w:rPr>
      <w:rFonts w:ascii="Calibri" w:hAnsi="Calibri"/>
      <w:b/>
      <w:bCs/>
      <w:kern w:val="36"/>
      <w:sz w:val="28"/>
      <w:szCs w:val="28"/>
    </w:rPr>
  </w:style>
  <w:style w:type="character" w:customStyle="1" w:styleId="TitleChar">
    <w:name w:val="Title Char"/>
    <w:basedOn w:val="DefaultParagraphFont"/>
    <w:link w:val="Title"/>
    <w:uiPriority w:val="10"/>
    <w:rsid w:val="006202D3"/>
    <w:rPr>
      <w:rFonts w:ascii="Calibri" w:hAnsi="Calibri"/>
      <w:b/>
      <w:bCs/>
      <w:kern w:val="36"/>
      <w:sz w:val="28"/>
      <w:szCs w:val="28"/>
    </w:rPr>
  </w:style>
  <w:style w:type="paragraph" w:styleId="Subtitle">
    <w:name w:val="Subtitle"/>
    <w:basedOn w:val="Normal"/>
    <w:next w:val="Normal"/>
    <w:link w:val="SubtitleChar"/>
    <w:uiPriority w:val="11"/>
    <w:qFormat/>
    <w:rsid w:val="006202D3"/>
    <w:pPr>
      <w:spacing w:before="280"/>
      <w:jc w:val="center"/>
    </w:pPr>
    <w:rPr>
      <w:rFonts w:ascii="Calibri" w:hAnsi="Calibri"/>
      <w:b/>
      <w:bCs/>
      <w:i/>
      <w:kern w:val="36"/>
      <w:sz w:val="28"/>
      <w:szCs w:val="28"/>
    </w:rPr>
  </w:style>
  <w:style w:type="character" w:customStyle="1" w:styleId="SubtitleChar">
    <w:name w:val="Subtitle Char"/>
    <w:basedOn w:val="DefaultParagraphFont"/>
    <w:link w:val="Subtitle"/>
    <w:uiPriority w:val="11"/>
    <w:rsid w:val="006202D3"/>
    <w:rPr>
      <w:rFonts w:ascii="Calibri" w:hAnsi="Calibri"/>
      <w:b/>
      <w:bCs/>
      <w:i/>
      <w:kern w:val="36"/>
      <w:sz w:val="28"/>
      <w:szCs w:val="28"/>
    </w:rPr>
  </w:style>
  <w:style w:type="paragraph" w:styleId="BalloonText">
    <w:name w:val="Balloon Text"/>
    <w:basedOn w:val="Normal"/>
    <w:link w:val="BalloonTextChar"/>
    <w:uiPriority w:val="99"/>
    <w:semiHidden/>
    <w:unhideWhenUsed/>
    <w:rsid w:val="006202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D3"/>
    <w:rPr>
      <w:rFonts w:ascii="Tahoma" w:hAnsi="Tahoma" w:cs="Tahoma"/>
      <w:sz w:val="16"/>
      <w:szCs w:val="16"/>
    </w:rPr>
  </w:style>
  <w:style w:type="paragraph" w:styleId="ListParagraph">
    <w:name w:val="List Paragraph"/>
    <w:basedOn w:val="Normal"/>
    <w:link w:val="ListParagraphChar"/>
    <w:uiPriority w:val="99"/>
    <w:qFormat/>
    <w:rsid w:val="00F05FBF"/>
    <w:pPr>
      <w:ind w:left="720"/>
      <w:contextualSpacing/>
    </w:pPr>
  </w:style>
  <w:style w:type="character" w:styleId="FollowedHyperlink">
    <w:name w:val="FollowedHyperlink"/>
    <w:basedOn w:val="DefaultParagraphFont"/>
    <w:uiPriority w:val="99"/>
    <w:semiHidden/>
    <w:unhideWhenUsed/>
    <w:rsid w:val="00704FF8"/>
    <w:rPr>
      <w:color w:val="800080" w:themeColor="followedHyperlink"/>
      <w:u w:val="single"/>
    </w:rPr>
  </w:style>
  <w:style w:type="character" w:styleId="CommentReference">
    <w:name w:val="annotation reference"/>
    <w:basedOn w:val="DefaultParagraphFont"/>
    <w:uiPriority w:val="99"/>
    <w:semiHidden/>
    <w:unhideWhenUsed/>
    <w:rsid w:val="00E573E5"/>
    <w:rPr>
      <w:sz w:val="16"/>
      <w:szCs w:val="16"/>
    </w:rPr>
  </w:style>
  <w:style w:type="paragraph" w:styleId="CommentText">
    <w:name w:val="annotation text"/>
    <w:basedOn w:val="Normal"/>
    <w:link w:val="CommentTextChar"/>
    <w:uiPriority w:val="99"/>
    <w:unhideWhenUsed/>
    <w:rsid w:val="00E573E5"/>
    <w:rPr>
      <w:sz w:val="20"/>
      <w:szCs w:val="20"/>
    </w:rPr>
  </w:style>
  <w:style w:type="character" w:customStyle="1" w:styleId="CommentTextChar">
    <w:name w:val="Comment Text Char"/>
    <w:basedOn w:val="DefaultParagraphFont"/>
    <w:link w:val="CommentText"/>
    <w:uiPriority w:val="99"/>
    <w:rsid w:val="00E573E5"/>
    <w:rPr>
      <w:sz w:val="20"/>
      <w:szCs w:val="20"/>
    </w:rPr>
  </w:style>
  <w:style w:type="paragraph" w:styleId="CommentSubject">
    <w:name w:val="annotation subject"/>
    <w:basedOn w:val="CommentText"/>
    <w:next w:val="CommentText"/>
    <w:link w:val="CommentSubjectChar"/>
    <w:uiPriority w:val="99"/>
    <w:semiHidden/>
    <w:unhideWhenUsed/>
    <w:rsid w:val="00E573E5"/>
    <w:rPr>
      <w:b/>
      <w:bCs/>
    </w:rPr>
  </w:style>
  <w:style w:type="character" w:customStyle="1" w:styleId="CommentSubjectChar">
    <w:name w:val="Comment Subject Char"/>
    <w:basedOn w:val="CommentTextChar"/>
    <w:link w:val="CommentSubject"/>
    <w:uiPriority w:val="99"/>
    <w:semiHidden/>
    <w:rsid w:val="00E573E5"/>
    <w:rPr>
      <w:b/>
      <w:bCs/>
      <w:sz w:val="20"/>
      <w:szCs w:val="20"/>
    </w:rPr>
  </w:style>
  <w:style w:type="paragraph" w:styleId="Revision">
    <w:name w:val="Revision"/>
    <w:hidden/>
    <w:uiPriority w:val="99"/>
    <w:semiHidden/>
    <w:rsid w:val="00464410"/>
    <w:pPr>
      <w:spacing w:after="0" w:line="240" w:lineRule="auto"/>
    </w:pPr>
    <w:rPr>
      <w:sz w:val="24"/>
      <w:szCs w:val="24"/>
    </w:rPr>
  </w:style>
  <w:style w:type="character" w:customStyle="1" w:styleId="ListParagraphChar">
    <w:name w:val="List Paragraph Char"/>
    <w:link w:val="ListParagraph"/>
    <w:uiPriority w:val="99"/>
    <w:locked/>
    <w:rsid w:val="00AF32A1"/>
    <w:rPr>
      <w:sz w:val="24"/>
      <w:szCs w:val="24"/>
    </w:rPr>
  </w:style>
  <w:style w:type="paragraph" w:styleId="Header">
    <w:name w:val="header"/>
    <w:basedOn w:val="Normal"/>
    <w:link w:val="HeaderChar"/>
    <w:uiPriority w:val="99"/>
    <w:unhideWhenUsed/>
    <w:rsid w:val="005C53CE"/>
    <w:pPr>
      <w:tabs>
        <w:tab w:val="center" w:pos="4680"/>
        <w:tab w:val="right" w:pos="9360"/>
      </w:tabs>
      <w:spacing w:after="0"/>
    </w:pPr>
  </w:style>
  <w:style w:type="character" w:customStyle="1" w:styleId="HeaderChar">
    <w:name w:val="Header Char"/>
    <w:basedOn w:val="DefaultParagraphFont"/>
    <w:link w:val="Header"/>
    <w:uiPriority w:val="99"/>
    <w:rsid w:val="005C53CE"/>
    <w:rPr>
      <w:sz w:val="24"/>
      <w:szCs w:val="24"/>
    </w:rPr>
  </w:style>
  <w:style w:type="paragraph" w:styleId="Footer">
    <w:name w:val="footer"/>
    <w:basedOn w:val="Normal"/>
    <w:link w:val="FooterChar"/>
    <w:uiPriority w:val="99"/>
    <w:unhideWhenUsed/>
    <w:rsid w:val="005C53CE"/>
    <w:pPr>
      <w:tabs>
        <w:tab w:val="center" w:pos="4680"/>
        <w:tab w:val="right" w:pos="9360"/>
      </w:tabs>
      <w:spacing w:after="0"/>
    </w:pPr>
  </w:style>
  <w:style w:type="character" w:customStyle="1" w:styleId="FooterChar">
    <w:name w:val="Footer Char"/>
    <w:basedOn w:val="DefaultParagraphFont"/>
    <w:link w:val="Footer"/>
    <w:uiPriority w:val="99"/>
    <w:rsid w:val="005C5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enate.gov/legislative/LIS/roll_call_lists/roll_call_vote_cfm.cfm?congress=114&amp;session=1&amp;vote=00339" TargetMode="External"/><Relationship Id="rId18" Type="http://schemas.openxmlformats.org/officeDocument/2006/relationships/hyperlink" Target="http://www.cbpp.org/research/federal-tax/letting-key-provisions-of-working-family-tax-credits-expire-would-push-16" TargetMode="External"/><Relationship Id="rId26" Type="http://schemas.openxmlformats.org/officeDocument/2006/relationships/hyperlink" Target="http://cdn.akingump.com/images/content/3/1/v2/31140/Bonus-Depreciation-CRS-Report-July-2014.pdf"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www.ctj.org/corporatetaxdodgers/sorrystateofcorptaxe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lerk.house.gov/evs/2015/roll703.xml" TargetMode="External"/><Relationship Id="rId17" Type="http://schemas.openxmlformats.org/officeDocument/2006/relationships/hyperlink" Target="http://www.huffingtonpost.com/entry/congress-sept-11-responders_566effdbe4b0e292150e9994" TargetMode="External"/><Relationship Id="rId25" Type="http://schemas.openxmlformats.org/officeDocument/2006/relationships/hyperlink" Target="http://www.americansfortaxfairness.org/files/ATF-Analysis-of-Cost-of-Tax-Extender-Omnibus-Deal.pdf" TargetMode="External"/><Relationship Id="rId33" Type="http://schemas.openxmlformats.org/officeDocument/2006/relationships/hyperlink" Target="http://www.americansfortaxfairness.org/about/endorsements/" TargetMode="External"/><Relationship Id="rId38"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cbpp.org/press/statements/greenstein-budget-deal-though-imperfect-represents-significant-accomplishment-and" TargetMode="External"/><Relationship Id="rId20" Type="http://schemas.openxmlformats.org/officeDocument/2006/relationships/hyperlink" Target="http://www.americansfortaxfairness.org/files/ATF-Analysis-of-Cost-of-Tax-Extender-Omnibus-Deal.pdf" TargetMode="External"/><Relationship Id="rId29" Type="http://schemas.openxmlformats.org/officeDocument/2006/relationships/hyperlink" Target="https://www.irs.gov/uac/Ten-Facts-about-the-Child-Tax-Cr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ansfortaxfairness.org/files/ATF-Analysis-of-Cost-of-Tax-Extender-Omnibus-Deal.pdf" TargetMode="External"/><Relationship Id="rId24" Type="http://schemas.openxmlformats.org/officeDocument/2006/relationships/hyperlink" Target="http://www.americansfortaxfairness.org/files/ATF-CFC-Look-Through-Rule-Fact-Sheet-2015-FINAL.pdf" TargetMode="External"/><Relationship Id="rId32" Type="http://schemas.openxmlformats.org/officeDocument/2006/relationships/hyperlink" Target="http://www.americansfortaxfairness.org/files/Pfizers-Tax-Dodging-Rx-Stash-Profits-Offshore-Final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dget.senate.gov/democratic/public/_cache/files/ca28afb2-456a-440e-a2ba-699587c984b4/the-republican-budget-a-massive-transfer-of-wealth-from-the-middle-class-to-millionaires-and-billionaires.pdf" TargetMode="External"/><Relationship Id="rId23" Type="http://schemas.openxmlformats.org/officeDocument/2006/relationships/hyperlink" Target="http://www.americansfortaxfairness.org/files/ATF-Analysis-of-Cost-of-Tax-Extender-Omnibus-Deal.pdf" TargetMode="External"/><Relationship Id="rId28" Type="http://schemas.openxmlformats.org/officeDocument/2006/relationships/hyperlink" Target="https://www.eitc.irs.gov/Partner-Toolkit/basicmaterials/ff" TargetMode="External"/><Relationship Id="rId36" Type="http://schemas.openxmlformats.org/officeDocument/2006/relationships/fontTable" Target="fontTable.xml"/><Relationship Id="rId10" Type="http://schemas.openxmlformats.org/officeDocument/2006/relationships/hyperlink" Target="http://www.latimes.com/nation/politics/la-na-congress-budget-20151218-story.html" TargetMode="External"/><Relationship Id="rId19" Type="http://schemas.openxmlformats.org/officeDocument/2006/relationships/hyperlink" Target="https://www.schumer.senate.gov/newsroom/press-releases/_schumer-announces-after-his-push-just-unveiled-tax-package-would-make-college-tuition-tax-credit-permanent-schumer-authored-tax-credit-provides-much-needed-relief-to-middle-class-families-now-paying-sky-high-college-tuition-costs" TargetMode="External"/><Relationship Id="rId31" Type="http://schemas.openxmlformats.org/officeDocument/2006/relationships/hyperlink" Target="http://www.cbpp.org/research/federal-tax/letting-key-provisions-of-working-family-tax-credits-expire-would-push-16" TargetMode="External"/><Relationship Id="rId4" Type="http://schemas.openxmlformats.org/officeDocument/2006/relationships/settings" Target="settings.xml"/><Relationship Id="rId9" Type="http://schemas.openxmlformats.org/officeDocument/2006/relationships/hyperlink" Target="mailto:reckstein@AmericansforTaxFairness.org" TargetMode="External"/><Relationship Id="rId14" Type="http://schemas.openxmlformats.org/officeDocument/2006/relationships/hyperlink" Target="http://www.americansfortaxfairness.org/files/2015-12-01.Ed-Bd-Memo-on-Tax-Extenders-FINAL.pdf" TargetMode="External"/><Relationship Id="rId22" Type="http://schemas.openxmlformats.org/officeDocument/2006/relationships/hyperlink" Target="http://www.americansfortaxfairness.org/files/ATF-Active-Financing-Exception-Fact-Sheet-2015-FINAL.pdf" TargetMode="External"/><Relationship Id="rId27" Type="http://schemas.openxmlformats.org/officeDocument/2006/relationships/hyperlink" Target="http://www.americansfortaxfairness.org/files/ATF-Bonus-Depreciation-Fact-Sheet-2015-FINAL.pdf" TargetMode="External"/><Relationship Id="rId30" Type="http://schemas.openxmlformats.org/officeDocument/2006/relationships/hyperlink" Target="http://www.cbpp.org/research/federal-tax/letting-key-provisions-of-working-family-tax-credits-expire-would-push-16"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10</cp:revision>
  <cp:lastPrinted>2015-12-22T01:19:00Z</cp:lastPrinted>
  <dcterms:created xsi:type="dcterms:W3CDTF">2015-12-21T16:55:00Z</dcterms:created>
  <dcterms:modified xsi:type="dcterms:W3CDTF">2015-12-22T06:41:00Z</dcterms:modified>
</cp:coreProperties>
</file>