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5709C" w14:textId="04C60405" w:rsidR="00E92211" w:rsidRDefault="00830F71" w:rsidP="00566738">
      <w:pPr>
        <w:spacing w:after="0" w:line="240" w:lineRule="auto"/>
        <w:contextualSpacing/>
        <w:rPr>
          <w:sz w:val="24"/>
          <w:szCs w:val="24"/>
        </w:rPr>
      </w:pPr>
      <w:r>
        <w:rPr>
          <w:noProof/>
        </w:rPr>
        <w:drawing>
          <wp:anchor distT="0" distB="0" distL="114300" distR="114300" simplePos="0" relativeHeight="251661312" behindDoc="0" locked="0" layoutInCell="1" allowOverlap="1" wp14:anchorId="3B94E891" wp14:editId="6BE6A051">
            <wp:simplePos x="0" y="0"/>
            <wp:positionH relativeFrom="column">
              <wp:posOffset>1384300</wp:posOffset>
            </wp:positionH>
            <wp:positionV relativeFrom="paragraph">
              <wp:posOffset>-336549</wp:posOffset>
            </wp:positionV>
            <wp:extent cx="3498850" cy="689646"/>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jpg"/>
                    <pic:cNvPicPr/>
                  </pic:nvPicPr>
                  <pic:blipFill>
                    <a:blip r:embed="rId8" r:link="rId9" cstate="print">
                      <a:extLst>
                        <a:ext uri="{28A0092B-C50C-407E-A947-70E740481C1C}">
                          <a14:useLocalDpi xmlns:a14="http://schemas.microsoft.com/office/drawing/2010/main" val="0"/>
                        </a:ext>
                      </a:extLst>
                    </a:blip>
                    <a:stretch>
                      <a:fillRect/>
                    </a:stretch>
                  </pic:blipFill>
                  <pic:spPr>
                    <a:xfrm>
                      <a:off x="0" y="0"/>
                      <a:ext cx="3498850" cy="68964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62D97ADD" w14:textId="77777777" w:rsidR="00E92211" w:rsidRDefault="00E92211" w:rsidP="00566738">
      <w:pPr>
        <w:spacing w:after="0" w:line="240" w:lineRule="auto"/>
        <w:contextualSpacing/>
        <w:rPr>
          <w:sz w:val="24"/>
          <w:szCs w:val="24"/>
        </w:rPr>
      </w:pPr>
    </w:p>
    <w:p w14:paraId="31449987" w14:textId="77777777" w:rsidR="00CD55A7" w:rsidRDefault="00CD55A7" w:rsidP="00566738">
      <w:pPr>
        <w:spacing w:after="0" w:line="240" w:lineRule="auto"/>
        <w:contextualSpacing/>
        <w:rPr>
          <w:sz w:val="24"/>
          <w:szCs w:val="24"/>
        </w:rPr>
      </w:pPr>
    </w:p>
    <w:p w14:paraId="2FC29E1F" w14:textId="77777777" w:rsidR="00CD55A7" w:rsidRDefault="00CD55A7" w:rsidP="00566738">
      <w:pPr>
        <w:spacing w:after="0" w:line="240" w:lineRule="auto"/>
        <w:contextualSpacing/>
        <w:rPr>
          <w:sz w:val="24"/>
          <w:szCs w:val="24"/>
        </w:rPr>
      </w:pPr>
    </w:p>
    <w:p w14:paraId="22A1860E" w14:textId="77777777" w:rsidR="00EE4E0B" w:rsidRDefault="00566738" w:rsidP="00566738">
      <w:pPr>
        <w:spacing w:after="0" w:line="240" w:lineRule="auto"/>
        <w:contextualSpacing/>
        <w:rPr>
          <w:sz w:val="24"/>
          <w:szCs w:val="24"/>
        </w:rPr>
      </w:pPr>
      <w:r>
        <w:rPr>
          <w:sz w:val="24"/>
          <w:szCs w:val="24"/>
        </w:rPr>
        <w:t>To:</w:t>
      </w:r>
      <w:r>
        <w:rPr>
          <w:sz w:val="24"/>
          <w:szCs w:val="24"/>
        </w:rPr>
        <w:tab/>
        <w:t>Editorial Board Members and Columnists</w:t>
      </w:r>
    </w:p>
    <w:p w14:paraId="29A0814F" w14:textId="5DC8E50E" w:rsidR="00566738" w:rsidRDefault="00566738" w:rsidP="00566738">
      <w:pPr>
        <w:spacing w:after="0" w:line="240" w:lineRule="auto"/>
        <w:contextualSpacing/>
        <w:rPr>
          <w:sz w:val="24"/>
          <w:szCs w:val="24"/>
        </w:rPr>
      </w:pPr>
      <w:r>
        <w:rPr>
          <w:sz w:val="24"/>
          <w:szCs w:val="24"/>
        </w:rPr>
        <w:t>Fr:</w:t>
      </w:r>
      <w:r>
        <w:rPr>
          <w:sz w:val="24"/>
          <w:szCs w:val="24"/>
        </w:rPr>
        <w:tab/>
      </w:r>
      <w:r w:rsidR="00830F71" w:rsidRPr="00316E8E">
        <w:rPr>
          <w:sz w:val="24"/>
          <w:szCs w:val="24"/>
          <w:shd w:val="clear" w:color="auto" w:fill="FFFFFF"/>
        </w:rPr>
        <w:t>Frank Clemente, Executive Director,</w:t>
      </w:r>
      <w:r w:rsidR="00830F71">
        <w:rPr>
          <w:sz w:val="24"/>
          <w:szCs w:val="24"/>
          <w:shd w:val="clear" w:color="auto" w:fill="FFFFFF"/>
        </w:rPr>
        <w:t xml:space="preserve"> </w:t>
      </w:r>
      <w:r w:rsidRPr="00067E30">
        <w:rPr>
          <w:sz w:val="24"/>
          <w:szCs w:val="24"/>
        </w:rPr>
        <w:t>Americans</w:t>
      </w:r>
      <w:r>
        <w:rPr>
          <w:sz w:val="24"/>
          <w:szCs w:val="24"/>
        </w:rPr>
        <w:t xml:space="preserve"> for Tax Fairness</w:t>
      </w:r>
    </w:p>
    <w:p w14:paraId="0582521A" w14:textId="2E2CC0E0" w:rsidR="00566738" w:rsidRDefault="00566738" w:rsidP="00566738">
      <w:pPr>
        <w:spacing w:after="0" w:line="240" w:lineRule="auto"/>
        <w:contextualSpacing/>
        <w:rPr>
          <w:sz w:val="24"/>
          <w:szCs w:val="24"/>
        </w:rPr>
      </w:pPr>
      <w:r>
        <w:rPr>
          <w:sz w:val="24"/>
          <w:szCs w:val="24"/>
        </w:rPr>
        <w:t>D</w:t>
      </w:r>
      <w:r w:rsidR="00830F71">
        <w:rPr>
          <w:sz w:val="24"/>
          <w:szCs w:val="24"/>
        </w:rPr>
        <w:t>t</w:t>
      </w:r>
      <w:r>
        <w:rPr>
          <w:sz w:val="24"/>
          <w:szCs w:val="24"/>
        </w:rPr>
        <w:t>:</w:t>
      </w:r>
      <w:r>
        <w:rPr>
          <w:sz w:val="24"/>
          <w:szCs w:val="24"/>
        </w:rPr>
        <w:tab/>
        <w:t>March 2</w:t>
      </w:r>
      <w:r w:rsidR="00830F71">
        <w:rPr>
          <w:sz w:val="24"/>
          <w:szCs w:val="24"/>
        </w:rPr>
        <w:t>3</w:t>
      </w:r>
      <w:r>
        <w:rPr>
          <w:sz w:val="24"/>
          <w:szCs w:val="24"/>
        </w:rPr>
        <w:t>, 2016</w:t>
      </w:r>
    </w:p>
    <w:p w14:paraId="739452A9" w14:textId="77777777" w:rsidR="00533FFC" w:rsidRDefault="00533FFC" w:rsidP="00566738">
      <w:pPr>
        <w:spacing w:after="0" w:line="240" w:lineRule="auto"/>
        <w:contextualSpacing/>
        <w:rPr>
          <w:sz w:val="24"/>
          <w:szCs w:val="24"/>
        </w:rPr>
      </w:pPr>
      <w:r>
        <w:rPr>
          <w:noProof/>
          <w:sz w:val="24"/>
          <w:szCs w:val="24"/>
        </w:rPr>
        <mc:AlternateContent>
          <mc:Choice Requires="wps">
            <w:drawing>
              <wp:anchor distT="0" distB="0" distL="114300" distR="114300" simplePos="0" relativeHeight="251659264" behindDoc="0" locked="0" layoutInCell="1" allowOverlap="1" wp14:anchorId="1B52635B" wp14:editId="42BA6669">
                <wp:simplePos x="0" y="0"/>
                <wp:positionH relativeFrom="column">
                  <wp:posOffset>533400</wp:posOffset>
                </wp:positionH>
                <wp:positionV relativeFrom="paragraph">
                  <wp:posOffset>179706</wp:posOffset>
                </wp:positionV>
                <wp:extent cx="48577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4857750" cy="0"/>
                        </a:xfrm>
                        <a:prstGeom prst="line">
                          <a:avLst/>
                        </a:prstGeom>
                        <a:ln w="28575">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B66AEE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4.15pt" to="42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" strokecolor="black [3213]" strokeweight="2.25pt">
                <v:stroke joinstyle="miter"/>
              </v:line>
            </w:pict>
          </mc:Fallback>
        </mc:AlternateContent>
      </w:r>
    </w:p>
    <w:p w14:paraId="1C340579" w14:textId="77777777" w:rsidR="00533FFC" w:rsidRDefault="00533FFC" w:rsidP="00566738">
      <w:pPr>
        <w:spacing w:after="0" w:line="240" w:lineRule="auto"/>
        <w:contextualSpacing/>
        <w:rPr>
          <w:sz w:val="24"/>
          <w:szCs w:val="24"/>
        </w:rPr>
      </w:pPr>
    </w:p>
    <w:p w14:paraId="775E75F3" w14:textId="79D13931" w:rsidR="00830F71" w:rsidRPr="00316E8E" w:rsidRDefault="00830F71" w:rsidP="00316E8E">
      <w:pPr>
        <w:spacing w:after="0" w:line="240" w:lineRule="auto"/>
        <w:contextualSpacing/>
        <w:jc w:val="center"/>
        <w:rPr>
          <w:b/>
          <w:sz w:val="32"/>
          <w:szCs w:val="32"/>
        </w:rPr>
      </w:pPr>
      <w:r w:rsidRPr="00316E8E">
        <w:rPr>
          <w:b/>
          <w:sz w:val="32"/>
          <w:szCs w:val="32"/>
        </w:rPr>
        <w:t>Obama’s Treasury Department Can Stop Pfizer’s $35 Billion Tax Dodge</w:t>
      </w:r>
    </w:p>
    <w:p w14:paraId="065E6283" w14:textId="77777777" w:rsidR="00830F71" w:rsidRDefault="00830F71" w:rsidP="00566738">
      <w:pPr>
        <w:spacing w:after="0" w:line="240" w:lineRule="auto"/>
        <w:contextualSpacing/>
        <w:rPr>
          <w:sz w:val="24"/>
          <w:szCs w:val="24"/>
        </w:rPr>
      </w:pPr>
      <w:bookmarkStart w:id="0" w:name="_GoBack"/>
      <w:bookmarkEnd w:id="0"/>
    </w:p>
    <w:p w14:paraId="7993D60C" w14:textId="5517BD87" w:rsidR="00E92211" w:rsidRPr="00510299" w:rsidRDefault="00E92211" w:rsidP="00510299">
      <w:pPr>
        <w:widowControl w:val="0"/>
        <w:autoSpaceDE w:val="0"/>
        <w:autoSpaceDN w:val="0"/>
        <w:adjustRightInd w:val="0"/>
        <w:spacing w:after="0" w:line="240" w:lineRule="auto"/>
        <w:rPr>
          <w:rFonts w:cs="Arial"/>
          <w:color w:val="1A1A1A"/>
          <w:sz w:val="24"/>
          <w:szCs w:val="24"/>
        </w:rPr>
      </w:pPr>
      <w:r w:rsidRPr="00510299">
        <w:rPr>
          <w:rFonts w:cs="Arial"/>
          <w:color w:val="1A1A1A"/>
          <w:sz w:val="24"/>
          <w:szCs w:val="24"/>
        </w:rPr>
        <w:t xml:space="preserve">Pfizer, one of the world’s </w:t>
      </w:r>
      <w:hyperlink r:id="rId10" w:history="1">
        <w:r w:rsidRPr="00510299">
          <w:rPr>
            <w:rStyle w:val="Hyperlink"/>
            <w:rFonts w:cs="AvenirNext-DemiBold"/>
            <w:bCs/>
            <w:sz w:val="24"/>
            <w:szCs w:val="24"/>
          </w:rPr>
          <w:t>largest pharmaceutical companies</w:t>
        </w:r>
      </w:hyperlink>
      <w:r w:rsidRPr="00510299">
        <w:rPr>
          <w:rFonts w:cs="Arial"/>
          <w:color w:val="1A1A1A"/>
          <w:sz w:val="24"/>
          <w:szCs w:val="24"/>
        </w:rPr>
        <w:t xml:space="preserve"> and </w:t>
      </w:r>
      <w:hyperlink r:id="rId11" w:history="1">
        <w:r w:rsidRPr="00510299">
          <w:rPr>
            <w:rStyle w:val="Hyperlink"/>
            <w:sz w:val="24"/>
            <w:szCs w:val="24"/>
          </w:rPr>
          <w:t>most profitable companies</w:t>
        </w:r>
      </w:hyperlink>
      <w:r w:rsidRPr="003B4EA9">
        <w:rPr>
          <w:rStyle w:val="Hyperlink"/>
          <w:color w:val="auto"/>
          <w:sz w:val="24"/>
          <w:szCs w:val="24"/>
          <w:u w:val="none"/>
        </w:rPr>
        <w:t xml:space="preserve">, </w:t>
      </w:r>
      <w:r w:rsidRPr="00510299">
        <w:rPr>
          <w:rFonts w:cs="Arial"/>
          <w:color w:val="1A1A1A"/>
          <w:sz w:val="24"/>
          <w:szCs w:val="24"/>
        </w:rPr>
        <w:t xml:space="preserve">is attempting to dodge </w:t>
      </w:r>
      <w:r w:rsidR="0030116F">
        <w:rPr>
          <w:rFonts w:cs="Arial"/>
          <w:color w:val="1A1A1A"/>
          <w:sz w:val="24"/>
          <w:szCs w:val="24"/>
        </w:rPr>
        <w:t xml:space="preserve">up to $35 </w:t>
      </w:r>
      <w:r w:rsidRPr="00510299">
        <w:rPr>
          <w:rFonts w:cs="Arial"/>
          <w:color w:val="1A1A1A"/>
          <w:sz w:val="24"/>
          <w:szCs w:val="24"/>
        </w:rPr>
        <w:t xml:space="preserve">billion </w:t>
      </w:r>
      <w:r w:rsidR="0030116F">
        <w:rPr>
          <w:rFonts w:cs="Arial"/>
          <w:color w:val="1A1A1A"/>
          <w:sz w:val="24"/>
          <w:szCs w:val="24"/>
        </w:rPr>
        <w:t>in</w:t>
      </w:r>
      <w:r w:rsidRPr="00510299">
        <w:rPr>
          <w:rFonts w:cs="Arial"/>
          <w:color w:val="1A1A1A"/>
          <w:sz w:val="24"/>
          <w:szCs w:val="24"/>
        </w:rPr>
        <w:t xml:space="preserve"> U.S. taxes it currently owes through a merger with </w:t>
      </w:r>
      <w:r w:rsidR="0030116F">
        <w:rPr>
          <w:rFonts w:cs="Arial"/>
          <w:color w:val="1A1A1A"/>
          <w:sz w:val="24"/>
          <w:szCs w:val="24"/>
        </w:rPr>
        <w:t>Allergan, a</w:t>
      </w:r>
      <w:r w:rsidRPr="00510299">
        <w:rPr>
          <w:rFonts w:cs="Arial"/>
          <w:color w:val="1A1A1A"/>
          <w:sz w:val="24"/>
          <w:szCs w:val="24"/>
        </w:rPr>
        <w:t xml:space="preserve"> drug firm</w:t>
      </w:r>
      <w:r w:rsidR="0030116F">
        <w:rPr>
          <w:rFonts w:cs="Arial"/>
          <w:color w:val="1A1A1A"/>
          <w:sz w:val="24"/>
          <w:szCs w:val="24"/>
        </w:rPr>
        <w:t xml:space="preserve"> </w:t>
      </w:r>
      <w:r w:rsidRPr="00510299">
        <w:rPr>
          <w:rFonts w:cs="Arial"/>
          <w:color w:val="1A1A1A"/>
          <w:sz w:val="24"/>
          <w:szCs w:val="24"/>
        </w:rPr>
        <w:t>based in the tax haven of Ireland.</w:t>
      </w:r>
    </w:p>
    <w:p w14:paraId="6403AE9F" w14:textId="77777777" w:rsidR="00E92211" w:rsidRPr="00510299" w:rsidRDefault="00E92211" w:rsidP="00510299">
      <w:pPr>
        <w:widowControl w:val="0"/>
        <w:autoSpaceDE w:val="0"/>
        <w:autoSpaceDN w:val="0"/>
        <w:adjustRightInd w:val="0"/>
        <w:spacing w:after="0" w:line="240" w:lineRule="auto"/>
        <w:rPr>
          <w:sz w:val="24"/>
          <w:szCs w:val="24"/>
        </w:rPr>
      </w:pPr>
    </w:p>
    <w:p w14:paraId="64CA7445" w14:textId="5C623113" w:rsidR="00E92211" w:rsidRPr="00510299" w:rsidRDefault="00E92211" w:rsidP="00510299">
      <w:pPr>
        <w:widowControl w:val="0"/>
        <w:autoSpaceDE w:val="0"/>
        <w:autoSpaceDN w:val="0"/>
        <w:adjustRightInd w:val="0"/>
        <w:spacing w:after="0" w:line="240" w:lineRule="auto"/>
        <w:rPr>
          <w:sz w:val="24"/>
          <w:szCs w:val="24"/>
        </w:rPr>
      </w:pPr>
      <w:r w:rsidRPr="00510299">
        <w:rPr>
          <w:sz w:val="24"/>
          <w:szCs w:val="24"/>
        </w:rPr>
        <w:t xml:space="preserve">In effect, Pfizer will renounce its American identity, 166 years after being founded in New York City. The shift to Ireland will be largely a change of address to dodge U.S. taxes, as the combined company will still be </w:t>
      </w:r>
      <w:r w:rsidR="007B03E4">
        <w:rPr>
          <w:sz w:val="24"/>
          <w:szCs w:val="24"/>
        </w:rPr>
        <w:t xml:space="preserve">majority </w:t>
      </w:r>
      <w:r w:rsidRPr="00510299">
        <w:rPr>
          <w:sz w:val="24"/>
          <w:szCs w:val="24"/>
        </w:rPr>
        <w:t xml:space="preserve">owned by Pfizer’s current shareholders and will continue to be directed and managed from Manhattan. </w:t>
      </w:r>
      <w:r w:rsidR="007B03E4">
        <w:rPr>
          <w:sz w:val="24"/>
          <w:szCs w:val="24"/>
        </w:rPr>
        <w:t xml:space="preserve">This </w:t>
      </w:r>
      <w:r w:rsidR="0030116F">
        <w:rPr>
          <w:sz w:val="24"/>
          <w:szCs w:val="24"/>
        </w:rPr>
        <w:t xml:space="preserve">structure </w:t>
      </w:r>
      <w:r w:rsidR="007B03E4">
        <w:rPr>
          <w:sz w:val="24"/>
          <w:szCs w:val="24"/>
        </w:rPr>
        <w:t xml:space="preserve">is known as an inversion. </w:t>
      </w:r>
    </w:p>
    <w:p w14:paraId="02E941AC" w14:textId="77777777" w:rsidR="00E92211" w:rsidRDefault="00E92211" w:rsidP="00EE4E0B">
      <w:pPr>
        <w:spacing w:after="0" w:line="240" w:lineRule="auto"/>
        <w:contextualSpacing/>
        <w:rPr>
          <w:sz w:val="24"/>
          <w:szCs w:val="24"/>
        </w:rPr>
      </w:pPr>
    </w:p>
    <w:p w14:paraId="1F68FC1A" w14:textId="262ADF5C" w:rsidR="0030116F" w:rsidRDefault="0030116F" w:rsidP="00EE4E0B">
      <w:pPr>
        <w:spacing w:after="0" w:line="240" w:lineRule="auto"/>
        <w:contextualSpacing/>
        <w:rPr>
          <w:sz w:val="24"/>
          <w:szCs w:val="24"/>
        </w:rPr>
      </w:pPr>
      <w:r w:rsidRPr="00316E8E">
        <w:rPr>
          <w:sz w:val="24"/>
          <w:szCs w:val="24"/>
        </w:rPr>
        <w:t xml:space="preserve">For the last two years, Congress has shown it is incapable of passing legislation to prohibit inversions. </w:t>
      </w:r>
      <w:r>
        <w:rPr>
          <w:b/>
          <w:sz w:val="24"/>
          <w:szCs w:val="24"/>
        </w:rPr>
        <w:t>Fortunately, P</w:t>
      </w:r>
      <w:r w:rsidR="008F45AF" w:rsidRPr="00316E8E">
        <w:rPr>
          <w:b/>
          <w:sz w:val="24"/>
          <w:szCs w:val="24"/>
        </w:rPr>
        <w:t xml:space="preserve">resident Obama’s Treasury Department </w:t>
      </w:r>
      <w:r w:rsidR="00510299" w:rsidRPr="00316E8E">
        <w:rPr>
          <w:b/>
          <w:sz w:val="24"/>
          <w:szCs w:val="24"/>
        </w:rPr>
        <w:t xml:space="preserve">has the authority </w:t>
      </w:r>
      <w:r w:rsidR="007B03E4" w:rsidRPr="00316E8E">
        <w:rPr>
          <w:b/>
          <w:sz w:val="24"/>
          <w:szCs w:val="24"/>
        </w:rPr>
        <w:t xml:space="preserve">to </w:t>
      </w:r>
      <w:r w:rsidR="00510299" w:rsidRPr="00316E8E">
        <w:rPr>
          <w:b/>
          <w:sz w:val="24"/>
          <w:szCs w:val="24"/>
        </w:rPr>
        <w:t xml:space="preserve">eliminate </w:t>
      </w:r>
      <w:r>
        <w:rPr>
          <w:b/>
          <w:sz w:val="24"/>
          <w:szCs w:val="24"/>
        </w:rPr>
        <w:t xml:space="preserve">one of the big tax loopholes </w:t>
      </w:r>
      <w:r w:rsidR="00510299" w:rsidRPr="00316E8E">
        <w:rPr>
          <w:b/>
          <w:sz w:val="24"/>
          <w:szCs w:val="24"/>
        </w:rPr>
        <w:t xml:space="preserve">that Pfizer hopes to </w:t>
      </w:r>
      <w:r>
        <w:rPr>
          <w:b/>
          <w:sz w:val="24"/>
          <w:szCs w:val="24"/>
        </w:rPr>
        <w:t xml:space="preserve">exploit </w:t>
      </w:r>
      <w:r w:rsidR="00510299" w:rsidRPr="00316E8E">
        <w:rPr>
          <w:b/>
          <w:sz w:val="24"/>
          <w:szCs w:val="24"/>
        </w:rPr>
        <w:t>with its merger.</w:t>
      </w:r>
      <w:r w:rsidR="00510299">
        <w:rPr>
          <w:sz w:val="24"/>
          <w:szCs w:val="24"/>
        </w:rPr>
        <w:t xml:space="preserve"> </w:t>
      </w:r>
    </w:p>
    <w:p w14:paraId="16A8BEC1" w14:textId="77777777" w:rsidR="0030116F" w:rsidRDefault="0030116F" w:rsidP="00EE4E0B">
      <w:pPr>
        <w:spacing w:after="0" w:line="240" w:lineRule="auto"/>
        <w:contextualSpacing/>
        <w:rPr>
          <w:sz w:val="24"/>
          <w:szCs w:val="24"/>
        </w:rPr>
      </w:pPr>
    </w:p>
    <w:p w14:paraId="6BF36B30" w14:textId="4FC9CFBE" w:rsidR="00510299" w:rsidRDefault="00510299" w:rsidP="00EE4E0B">
      <w:pPr>
        <w:spacing w:after="0" w:line="240" w:lineRule="auto"/>
        <w:contextualSpacing/>
        <w:rPr>
          <w:sz w:val="24"/>
          <w:szCs w:val="24"/>
        </w:rPr>
      </w:pPr>
      <w:r>
        <w:rPr>
          <w:sz w:val="24"/>
          <w:szCs w:val="24"/>
        </w:rPr>
        <w:t>Americans for Tax Fairness issued a report in February that estimated</w:t>
      </w:r>
      <w:r w:rsidR="007B03E4">
        <w:rPr>
          <w:sz w:val="24"/>
          <w:szCs w:val="24"/>
        </w:rPr>
        <w:t xml:space="preserve"> this loophole </w:t>
      </w:r>
      <w:hyperlink r:id="rId12" w:history="1">
        <w:r w:rsidRPr="00510299">
          <w:rPr>
            <w:rStyle w:val="Hyperlink"/>
            <w:sz w:val="24"/>
            <w:szCs w:val="24"/>
          </w:rPr>
          <w:t xml:space="preserve">could save </w:t>
        </w:r>
        <w:r w:rsidR="007B03E4">
          <w:rPr>
            <w:rStyle w:val="Hyperlink"/>
            <w:sz w:val="24"/>
            <w:szCs w:val="24"/>
          </w:rPr>
          <w:t xml:space="preserve">Pfizer </w:t>
        </w:r>
        <w:r w:rsidRPr="00510299">
          <w:rPr>
            <w:rStyle w:val="Hyperlink"/>
            <w:sz w:val="24"/>
            <w:szCs w:val="24"/>
          </w:rPr>
          <w:t xml:space="preserve">as much as $35 billion in </w:t>
        </w:r>
        <w:r w:rsidR="0030116F">
          <w:rPr>
            <w:rStyle w:val="Hyperlink"/>
            <w:sz w:val="24"/>
            <w:szCs w:val="24"/>
          </w:rPr>
          <w:t xml:space="preserve">U.S. </w:t>
        </w:r>
        <w:r w:rsidRPr="00510299">
          <w:rPr>
            <w:rStyle w:val="Hyperlink"/>
            <w:sz w:val="24"/>
            <w:szCs w:val="24"/>
          </w:rPr>
          <w:t>taxes owed</w:t>
        </w:r>
      </w:hyperlink>
      <w:r>
        <w:rPr>
          <w:sz w:val="24"/>
          <w:szCs w:val="24"/>
        </w:rPr>
        <w:t xml:space="preserve"> on about $150 billion in offshore profits that the company held in 2014. </w:t>
      </w:r>
      <w:r w:rsidR="007B03E4">
        <w:rPr>
          <w:sz w:val="24"/>
          <w:szCs w:val="24"/>
        </w:rPr>
        <w:t xml:space="preserve">The ATF report was widely covered in more than 100 news stories including by the </w:t>
      </w:r>
      <w:hyperlink r:id="rId13" w:history="1">
        <w:r w:rsidR="007B03E4" w:rsidRPr="007B03E4">
          <w:rPr>
            <w:rStyle w:val="Hyperlink"/>
            <w:sz w:val="24"/>
            <w:szCs w:val="24"/>
          </w:rPr>
          <w:t>Associated Press</w:t>
        </w:r>
      </w:hyperlink>
      <w:r w:rsidR="007B03E4">
        <w:rPr>
          <w:sz w:val="24"/>
          <w:szCs w:val="24"/>
        </w:rPr>
        <w:t xml:space="preserve">, </w:t>
      </w:r>
      <w:hyperlink r:id="rId14" w:history="1">
        <w:r w:rsidR="007B03E4" w:rsidRPr="00FB55E2">
          <w:rPr>
            <w:rStyle w:val="Hyperlink"/>
            <w:sz w:val="24"/>
            <w:szCs w:val="24"/>
          </w:rPr>
          <w:t>The Washington Post</w:t>
        </w:r>
      </w:hyperlink>
      <w:r w:rsidR="0030116F">
        <w:rPr>
          <w:sz w:val="24"/>
          <w:szCs w:val="24"/>
        </w:rPr>
        <w:t xml:space="preserve"> and </w:t>
      </w:r>
      <w:hyperlink r:id="rId15" w:history="1">
        <w:r w:rsidR="0030116F" w:rsidRPr="00762FF2">
          <w:rPr>
            <w:rStyle w:val="Hyperlink"/>
            <w:sz w:val="24"/>
            <w:szCs w:val="24"/>
          </w:rPr>
          <w:t>USA Today</w:t>
        </w:r>
      </w:hyperlink>
      <w:r w:rsidR="007B03E4">
        <w:rPr>
          <w:sz w:val="24"/>
          <w:szCs w:val="24"/>
        </w:rPr>
        <w:t xml:space="preserve">. </w:t>
      </w:r>
    </w:p>
    <w:p w14:paraId="3B89503A" w14:textId="77777777" w:rsidR="00510299" w:rsidRDefault="00510299" w:rsidP="00EE4E0B">
      <w:pPr>
        <w:spacing w:after="0" w:line="240" w:lineRule="auto"/>
        <w:contextualSpacing/>
        <w:rPr>
          <w:sz w:val="24"/>
          <w:szCs w:val="24"/>
        </w:rPr>
      </w:pPr>
    </w:p>
    <w:p w14:paraId="4162AB7D" w14:textId="76E0F283" w:rsidR="009B740A" w:rsidRDefault="007B03E4" w:rsidP="00EE4E0B">
      <w:pPr>
        <w:spacing w:after="0" w:line="240" w:lineRule="auto"/>
        <w:contextualSpacing/>
        <w:rPr>
          <w:sz w:val="24"/>
          <w:szCs w:val="24"/>
        </w:rPr>
      </w:pPr>
      <w:r w:rsidRPr="00316E8E">
        <w:rPr>
          <w:b/>
          <w:sz w:val="24"/>
          <w:szCs w:val="24"/>
        </w:rPr>
        <w:t>Within the next few weeks, the Treasury Department is expected to finalize regulations that will limit the tax benefits that Pfizer and other corporations can take advantage of when they merge or invert with a foreign firm</w:t>
      </w:r>
      <w:r>
        <w:rPr>
          <w:sz w:val="24"/>
          <w:szCs w:val="24"/>
        </w:rPr>
        <w:t xml:space="preserve">, typically based in a tax haven. </w:t>
      </w:r>
      <w:r w:rsidR="009B740A">
        <w:rPr>
          <w:sz w:val="24"/>
          <w:szCs w:val="24"/>
        </w:rPr>
        <w:t xml:space="preserve">This recent </w:t>
      </w:r>
      <w:hyperlink r:id="rId16" w:history="1">
        <w:r w:rsidR="00A64714" w:rsidRPr="00A64714">
          <w:rPr>
            <w:rStyle w:val="Hyperlink"/>
            <w:sz w:val="24"/>
            <w:szCs w:val="24"/>
          </w:rPr>
          <w:t>Wall</w:t>
        </w:r>
        <w:r w:rsidR="00E96721" w:rsidRPr="00A64714">
          <w:rPr>
            <w:rStyle w:val="Hyperlink"/>
            <w:sz w:val="24"/>
            <w:szCs w:val="24"/>
          </w:rPr>
          <w:t xml:space="preserve"> Street Journal story</w:t>
        </w:r>
      </w:hyperlink>
      <w:r w:rsidR="009B740A">
        <w:rPr>
          <w:sz w:val="24"/>
          <w:szCs w:val="24"/>
        </w:rPr>
        <w:t xml:space="preserve"> and</w:t>
      </w:r>
      <w:r w:rsidR="007856D5">
        <w:rPr>
          <w:sz w:val="24"/>
          <w:szCs w:val="24"/>
        </w:rPr>
        <w:t xml:space="preserve"> </w:t>
      </w:r>
      <w:hyperlink r:id="rId17" w:history="1">
        <w:r w:rsidR="00E96721" w:rsidRPr="00E96721">
          <w:rPr>
            <w:rStyle w:val="Hyperlink"/>
            <w:sz w:val="24"/>
            <w:szCs w:val="24"/>
          </w:rPr>
          <w:t>column by the New York Times</w:t>
        </w:r>
      </w:hyperlink>
      <w:r w:rsidR="009B740A" w:rsidRPr="00E96721">
        <w:rPr>
          <w:sz w:val="24"/>
          <w:szCs w:val="24"/>
        </w:rPr>
        <w:t xml:space="preserve"> </w:t>
      </w:r>
      <w:r w:rsidR="009B740A">
        <w:rPr>
          <w:sz w:val="24"/>
          <w:szCs w:val="24"/>
        </w:rPr>
        <w:t xml:space="preserve">business page editor provide background on the situation and what is at stake. </w:t>
      </w:r>
      <w:r w:rsidR="009B740A" w:rsidRPr="00316E8E">
        <w:rPr>
          <w:b/>
          <w:sz w:val="24"/>
          <w:szCs w:val="24"/>
        </w:rPr>
        <w:t xml:space="preserve">We urge you to </w:t>
      </w:r>
      <w:r w:rsidR="00762FF2">
        <w:rPr>
          <w:b/>
          <w:sz w:val="24"/>
          <w:szCs w:val="24"/>
        </w:rPr>
        <w:t xml:space="preserve">promptly </w:t>
      </w:r>
      <w:r w:rsidR="009B740A" w:rsidRPr="00316E8E">
        <w:rPr>
          <w:b/>
          <w:sz w:val="24"/>
          <w:szCs w:val="24"/>
        </w:rPr>
        <w:t>editorialize on this matter.</w:t>
      </w:r>
      <w:r w:rsidR="009B740A">
        <w:rPr>
          <w:sz w:val="24"/>
          <w:szCs w:val="24"/>
        </w:rPr>
        <w:t xml:space="preserve"> </w:t>
      </w:r>
    </w:p>
    <w:p w14:paraId="6735FC27" w14:textId="77777777" w:rsidR="009B740A" w:rsidRDefault="009B740A" w:rsidP="00EE4E0B">
      <w:pPr>
        <w:spacing w:after="0" w:line="240" w:lineRule="auto"/>
        <w:contextualSpacing/>
        <w:rPr>
          <w:sz w:val="24"/>
          <w:szCs w:val="24"/>
        </w:rPr>
      </w:pPr>
    </w:p>
    <w:p w14:paraId="7C0127D7" w14:textId="2821531C" w:rsidR="009B740A" w:rsidRDefault="009B740A" w:rsidP="00EE4E0B">
      <w:pPr>
        <w:spacing w:after="0" w:line="240" w:lineRule="auto"/>
        <w:contextualSpacing/>
        <w:rPr>
          <w:sz w:val="24"/>
          <w:szCs w:val="24"/>
        </w:rPr>
      </w:pPr>
      <w:r>
        <w:rPr>
          <w:sz w:val="24"/>
          <w:szCs w:val="24"/>
        </w:rPr>
        <w:t>There is a lot of corporate pressure on the Obama Administration and the Treasury Department to not close th</w:t>
      </w:r>
      <w:r w:rsidR="00762FF2">
        <w:rPr>
          <w:sz w:val="24"/>
          <w:szCs w:val="24"/>
        </w:rPr>
        <w:t>e</w:t>
      </w:r>
      <w:r>
        <w:rPr>
          <w:sz w:val="24"/>
          <w:szCs w:val="24"/>
        </w:rPr>
        <w:t xml:space="preserve"> loophole</w:t>
      </w:r>
      <w:r w:rsidR="00762FF2">
        <w:rPr>
          <w:sz w:val="24"/>
          <w:szCs w:val="24"/>
        </w:rPr>
        <w:t xml:space="preserve"> that Pfizer and other companies are using</w:t>
      </w:r>
      <w:r>
        <w:rPr>
          <w:sz w:val="24"/>
          <w:szCs w:val="24"/>
        </w:rPr>
        <w:t xml:space="preserve">. </w:t>
      </w:r>
      <w:r w:rsidRPr="00316E8E">
        <w:rPr>
          <w:b/>
          <w:sz w:val="24"/>
          <w:szCs w:val="24"/>
        </w:rPr>
        <w:t xml:space="preserve">Editorials and columns from influential newspapers would draw public and lawmaker attention to this critical issue and explain the </w:t>
      </w:r>
      <w:r w:rsidR="00762FF2">
        <w:rPr>
          <w:b/>
          <w:sz w:val="24"/>
          <w:szCs w:val="24"/>
        </w:rPr>
        <w:t xml:space="preserve">need for </w:t>
      </w:r>
      <w:r w:rsidRPr="00316E8E">
        <w:rPr>
          <w:b/>
          <w:sz w:val="24"/>
          <w:szCs w:val="24"/>
        </w:rPr>
        <w:t xml:space="preserve">Treasury </w:t>
      </w:r>
      <w:r w:rsidR="00762FF2">
        <w:rPr>
          <w:b/>
          <w:sz w:val="24"/>
          <w:szCs w:val="24"/>
        </w:rPr>
        <w:t>to act i</w:t>
      </w:r>
      <w:r w:rsidRPr="00316E8E">
        <w:rPr>
          <w:b/>
          <w:sz w:val="24"/>
          <w:szCs w:val="24"/>
        </w:rPr>
        <w:t>n behalf of the public’s interest.</w:t>
      </w:r>
      <w:r>
        <w:rPr>
          <w:sz w:val="24"/>
          <w:szCs w:val="24"/>
        </w:rPr>
        <w:t xml:space="preserve"> </w:t>
      </w:r>
    </w:p>
    <w:p w14:paraId="2BBB6509" w14:textId="77777777" w:rsidR="009B740A" w:rsidRDefault="009B740A" w:rsidP="00EE4E0B">
      <w:pPr>
        <w:spacing w:after="0" w:line="240" w:lineRule="auto"/>
        <w:contextualSpacing/>
        <w:rPr>
          <w:sz w:val="24"/>
          <w:szCs w:val="24"/>
        </w:rPr>
      </w:pPr>
    </w:p>
    <w:p w14:paraId="12C2B1FA" w14:textId="57733742" w:rsidR="008F45AF" w:rsidRDefault="009B740A" w:rsidP="00EE4E0B">
      <w:pPr>
        <w:spacing w:after="0" w:line="240" w:lineRule="auto"/>
        <w:contextualSpacing/>
        <w:rPr>
          <w:sz w:val="24"/>
          <w:szCs w:val="24"/>
        </w:rPr>
      </w:pPr>
      <w:r>
        <w:rPr>
          <w:sz w:val="24"/>
          <w:szCs w:val="24"/>
        </w:rPr>
        <w:t xml:space="preserve">The rest of this memo provides background on </w:t>
      </w:r>
      <w:r w:rsidR="00B4661E">
        <w:rPr>
          <w:sz w:val="24"/>
          <w:szCs w:val="24"/>
        </w:rPr>
        <w:t xml:space="preserve">the executive authority </w:t>
      </w:r>
      <w:r>
        <w:rPr>
          <w:sz w:val="24"/>
          <w:szCs w:val="24"/>
        </w:rPr>
        <w:t xml:space="preserve">President Obama and his Treasury Department </w:t>
      </w:r>
      <w:r w:rsidR="00B4661E">
        <w:rPr>
          <w:sz w:val="24"/>
          <w:szCs w:val="24"/>
        </w:rPr>
        <w:t xml:space="preserve">can </w:t>
      </w:r>
      <w:r>
        <w:rPr>
          <w:sz w:val="24"/>
          <w:szCs w:val="24"/>
        </w:rPr>
        <w:t xml:space="preserve">exercise </w:t>
      </w:r>
      <w:r w:rsidR="00762FF2">
        <w:rPr>
          <w:sz w:val="24"/>
          <w:szCs w:val="24"/>
        </w:rPr>
        <w:t>to close this loophole</w:t>
      </w:r>
      <w:r w:rsidR="00B4661E">
        <w:rPr>
          <w:sz w:val="24"/>
          <w:szCs w:val="24"/>
        </w:rPr>
        <w:t>,</w:t>
      </w:r>
      <w:r>
        <w:rPr>
          <w:sz w:val="24"/>
          <w:szCs w:val="24"/>
        </w:rPr>
        <w:t xml:space="preserve"> and </w:t>
      </w:r>
      <w:r w:rsidR="00762FF2">
        <w:rPr>
          <w:sz w:val="24"/>
          <w:szCs w:val="24"/>
        </w:rPr>
        <w:t xml:space="preserve">it </w:t>
      </w:r>
      <w:r>
        <w:rPr>
          <w:sz w:val="24"/>
          <w:szCs w:val="24"/>
        </w:rPr>
        <w:t>provide</w:t>
      </w:r>
      <w:r w:rsidR="00762FF2">
        <w:rPr>
          <w:sz w:val="24"/>
          <w:szCs w:val="24"/>
        </w:rPr>
        <w:t>s</w:t>
      </w:r>
      <w:r>
        <w:rPr>
          <w:sz w:val="24"/>
          <w:szCs w:val="24"/>
        </w:rPr>
        <w:t xml:space="preserve"> more explanation about Pfizer’s tax dodge and its </w:t>
      </w:r>
      <w:r w:rsidR="00B4661E">
        <w:rPr>
          <w:sz w:val="24"/>
          <w:szCs w:val="24"/>
        </w:rPr>
        <w:t xml:space="preserve">prescription drug </w:t>
      </w:r>
      <w:r>
        <w:rPr>
          <w:sz w:val="24"/>
          <w:szCs w:val="24"/>
        </w:rPr>
        <w:t xml:space="preserve">price gouging. </w:t>
      </w:r>
    </w:p>
    <w:p w14:paraId="64E30F22" w14:textId="77777777" w:rsidR="00C1304B" w:rsidRDefault="00C1304B" w:rsidP="00EE4E0B">
      <w:pPr>
        <w:spacing w:after="0" w:line="240" w:lineRule="auto"/>
        <w:contextualSpacing/>
        <w:rPr>
          <w:sz w:val="24"/>
          <w:szCs w:val="24"/>
        </w:rPr>
      </w:pPr>
    </w:p>
    <w:p w14:paraId="00666E53" w14:textId="77777777" w:rsidR="00D728BC" w:rsidRDefault="00D728BC" w:rsidP="00EE4E0B">
      <w:pPr>
        <w:spacing w:after="0" w:line="240" w:lineRule="auto"/>
        <w:contextualSpacing/>
        <w:rPr>
          <w:sz w:val="24"/>
          <w:szCs w:val="24"/>
        </w:rPr>
      </w:pPr>
    </w:p>
    <w:p w14:paraId="68D42F76" w14:textId="5647FEC2" w:rsidR="00FB55E2" w:rsidRDefault="00FB55E2" w:rsidP="00EE4E0B">
      <w:pPr>
        <w:spacing w:after="0" w:line="240" w:lineRule="auto"/>
        <w:contextualSpacing/>
        <w:rPr>
          <w:b/>
          <w:sz w:val="24"/>
          <w:szCs w:val="24"/>
        </w:rPr>
      </w:pPr>
      <w:r>
        <w:rPr>
          <w:b/>
          <w:sz w:val="24"/>
          <w:szCs w:val="24"/>
        </w:rPr>
        <w:lastRenderedPageBreak/>
        <w:t xml:space="preserve">The Tax Loophole Pfizer is Exploiting </w:t>
      </w:r>
    </w:p>
    <w:p w14:paraId="0E037DC2" w14:textId="77777777" w:rsidR="00FB55E2" w:rsidRDefault="00FB55E2" w:rsidP="00EE4E0B">
      <w:pPr>
        <w:spacing w:after="0" w:line="240" w:lineRule="auto"/>
        <w:contextualSpacing/>
        <w:rPr>
          <w:b/>
          <w:sz w:val="24"/>
          <w:szCs w:val="24"/>
        </w:rPr>
      </w:pPr>
    </w:p>
    <w:p w14:paraId="2893BC08" w14:textId="2EC4740B" w:rsidR="009B4816" w:rsidRDefault="00FB55E2" w:rsidP="00EE4E0B">
      <w:pPr>
        <w:spacing w:after="0" w:line="240" w:lineRule="auto"/>
        <w:contextualSpacing/>
        <w:rPr>
          <w:sz w:val="24"/>
          <w:szCs w:val="24"/>
        </w:rPr>
      </w:pPr>
      <w:r>
        <w:rPr>
          <w:sz w:val="24"/>
          <w:szCs w:val="24"/>
        </w:rPr>
        <w:t>To save up to $35 billion in taxes through the merger, Pfizer will use a so-called “hopscotch loan.” It work</w:t>
      </w:r>
      <w:r w:rsidR="00CD55A7">
        <w:rPr>
          <w:sz w:val="24"/>
          <w:szCs w:val="24"/>
        </w:rPr>
        <w:t>s</w:t>
      </w:r>
      <w:r>
        <w:rPr>
          <w:sz w:val="24"/>
          <w:szCs w:val="24"/>
        </w:rPr>
        <w:t xml:space="preserve"> like this</w:t>
      </w:r>
      <w:r w:rsidR="00A64714">
        <w:rPr>
          <w:sz w:val="24"/>
          <w:szCs w:val="24"/>
        </w:rPr>
        <w:t>:</w:t>
      </w:r>
      <w:r>
        <w:rPr>
          <w:sz w:val="24"/>
          <w:szCs w:val="24"/>
        </w:rPr>
        <w:t xml:space="preserve"> Pfizer has at least </w:t>
      </w:r>
      <w:r w:rsidRPr="00067E30">
        <w:rPr>
          <w:sz w:val="24"/>
          <w:szCs w:val="24"/>
        </w:rPr>
        <w:t xml:space="preserve">$150 billion in offshore profits </w:t>
      </w:r>
      <w:r w:rsidRPr="00830F71">
        <w:rPr>
          <w:sz w:val="24"/>
          <w:szCs w:val="24"/>
        </w:rPr>
        <w:t>in its foreign subsidiaries</w:t>
      </w:r>
      <w:r w:rsidR="00CD55A7" w:rsidRPr="00830F71">
        <w:rPr>
          <w:sz w:val="24"/>
          <w:szCs w:val="24"/>
        </w:rPr>
        <w:t xml:space="preserve">, according to ATF and confirmed by the company to </w:t>
      </w:r>
      <w:hyperlink r:id="rId18" w:history="1">
        <w:r w:rsidR="00CD55A7" w:rsidRPr="00316E8E">
          <w:rPr>
            <w:rStyle w:val="Hyperlink"/>
          </w:rPr>
          <w:t>The New York Times</w:t>
        </w:r>
      </w:hyperlink>
      <w:r w:rsidRPr="00067E30">
        <w:rPr>
          <w:sz w:val="24"/>
          <w:szCs w:val="24"/>
        </w:rPr>
        <w:t xml:space="preserve">. </w:t>
      </w:r>
      <w:r w:rsidR="009B4816" w:rsidRPr="00067E30">
        <w:rPr>
          <w:sz w:val="24"/>
          <w:szCs w:val="24"/>
        </w:rPr>
        <w:t xml:space="preserve">Federal law allows </w:t>
      </w:r>
      <w:r w:rsidRPr="00830F71">
        <w:rPr>
          <w:sz w:val="24"/>
          <w:szCs w:val="24"/>
        </w:rPr>
        <w:t xml:space="preserve">Pfizer </w:t>
      </w:r>
      <w:r w:rsidR="009B4816" w:rsidRPr="00830F71">
        <w:rPr>
          <w:sz w:val="24"/>
          <w:szCs w:val="24"/>
        </w:rPr>
        <w:t xml:space="preserve">to defer </w:t>
      </w:r>
      <w:r w:rsidRPr="00830F71">
        <w:rPr>
          <w:sz w:val="24"/>
          <w:szCs w:val="24"/>
        </w:rPr>
        <w:t>pay</w:t>
      </w:r>
      <w:r w:rsidR="009B4816" w:rsidRPr="00830F71">
        <w:rPr>
          <w:sz w:val="24"/>
          <w:szCs w:val="24"/>
        </w:rPr>
        <w:t>ing</w:t>
      </w:r>
      <w:r w:rsidRPr="00830F71">
        <w:rPr>
          <w:sz w:val="24"/>
          <w:szCs w:val="24"/>
        </w:rPr>
        <w:t xml:space="preserve"> </w:t>
      </w:r>
      <w:r w:rsidR="009B4816" w:rsidRPr="00830F71">
        <w:rPr>
          <w:sz w:val="24"/>
          <w:szCs w:val="24"/>
        </w:rPr>
        <w:t xml:space="preserve">any </w:t>
      </w:r>
      <w:r w:rsidRPr="00830F71">
        <w:rPr>
          <w:sz w:val="24"/>
          <w:szCs w:val="24"/>
        </w:rPr>
        <w:t xml:space="preserve">U.S. taxes on those </w:t>
      </w:r>
      <w:r w:rsidR="009B4816" w:rsidRPr="00830F71">
        <w:rPr>
          <w:sz w:val="24"/>
          <w:szCs w:val="24"/>
        </w:rPr>
        <w:t xml:space="preserve">subsidiary </w:t>
      </w:r>
      <w:r w:rsidRPr="00830F71">
        <w:rPr>
          <w:sz w:val="24"/>
          <w:szCs w:val="24"/>
        </w:rPr>
        <w:t>profits until the</w:t>
      </w:r>
      <w:r w:rsidR="009B4816" w:rsidRPr="00830F71">
        <w:rPr>
          <w:sz w:val="24"/>
          <w:szCs w:val="24"/>
        </w:rPr>
        <w:t>y</w:t>
      </w:r>
      <w:r>
        <w:rPr>
          <w:sz w:val="24"/>
          <w:szCs w:val="24"/>
        </w:rPr>
        <w:t xml:space="preserve"> </w:t>
      </w:r>
      <w:r w:rsidR="009B4816">
        <w:rPr>
          <w:sz w:val="24"/>
          <w:szCs w:val="24"/>
        </w:rPr>
        <w:t xml:space="preserve">are </w:t>
      </w:r>
      <w:r>
        <w:rPr>
          <w:sz w:val="24"/>
          <w:szCs w:val="24"/>
        </w:rPr>
        <w:t>repatriate</w:t>
      </w:r>
      <w:r w:rsidR="009B4816">
        <w:rPr>
          <w:sz w:val="24"/>
          <w:szCs w:val="24"/>
        </w:rPr>
        <w:t>d</w:t>
      </w:r>
      <w:r>
        <w:rPr>
          <w:sz w:val="24"/>
          <w:szCs w:val="24"/>
        </w:rPr>
        <w:t xml:space="preserve"> to </w:t>
      </w:r>
      <w:r w:rsidR="009B4816">
        <w:rPr>
          <w:sz w:val="24"/>
          <w:szCs w:val="24"/>
        </w:rPr>
        <w:t>the</w:t>
      </w:r>
      <w:r>
        <w:rPr>
          <w:sz w:val="24"/>
          <w:szCs w:val="24"/>
        </w:rPr>
        <w:t xml:space="preserve"> U.S. parent.</w:t>
      </w:r>
      <w:r w:rsidR="009B4816">
        <w:rPr>
          <w:sz w:val="24"/>
          <w:szCs w:val="24"/>
        </w:rPr>
        <w:t xml:space="preserve"> Pfizer gets a tax credit for any foreign taxes already paid. </w:t>
      </w:r>
    </w:p>
    <w:p w14:paraId="71D60905" w14:textId="77777777" w:rsidR="009B4816" w:rsidRDefault="009B4816" w:rsidP="00EE4E0B">
      <w:pPr>
        <w:spacing w:after="0" w:line="240" w:lineRule="auto"/>
        <w:contextualSpacing/>
        <w:rPr>
          <w:sz w:val="24"/>
          <w:szCs w:val="24"/>
        </w:rPr>
      </w:pPr>
    </w:p>
    <w:p w14:paraId="61BF45E7" w14:textId="17B4F3BA" w:rsidR="00FB55E2" w:rsidRDefault="009B4816" w:rsidP="00316E8E">
      <w:pPr>
        <w:widowControl w:val="0"/>
        <w:autoSpaceDE w:val="0"/>
        <w:autoSpaceDN w:val="0"/>
        <w:adjustRightInd w:val="0"/>
        <w:spacing w:after="0" w:line="240" w:lineRule="auto"/>
        <w:rPr>
          <w:sz w:val="24"/>
          <w:szCs w:val="24"/>
        </w:rPr>
      </w:pPr>
      <w:r>
        <w:rPr>
          <w:sz w:val="24"/>
          <w:szCs w:val="24"/>
        </w:rPr>
        <w:t xml:space="preserve">Once Pfizer completes its foreign merger, its foreign subsidiaries will be able to loan these offshore profits </w:t>
      </w:r>
      <w:r w:rsidRPr="00316E8E">
        <w:rPr>
          <w:i/>
          <w:sz w:val="24"/>
          <w:szCs w:val="24"/>
        </w:rPr>
        <w:t>tax free</w:t>
      </w:r>
      <w:r>
        <w:rPr>
          <w:sz w:val="24"/>
          <w:szCs w:val="24"/>
        </w:rPr>
        <w:t xml:space="preserve"> to the new foreign parent, Allergan. </w:t>
      </w:r>
      <w:r w:rsidR="00CD55A7">
        <w:rPr>
          <w:sz w:val="24"/>
          <w:szCs w:val="24"/>
        </w:rPr>
        <w:t>Thus, t</w:t>
      </w:r>
      <w:r>
        <w:rPr>
          <w:rFonts w:cs="Arial"/>
          <w:color w:val="000000" w:themeColor="text1"/>
          <w:sz w:val="24"/>
          <w:szCs w:val="24"/>
        </w:rPr>
        <w:t>he loan “hopscotches” over the inverting U.S. parent corporation – Pfizer –</w:t>
      </w:r>
      <w:r w:rsidR="00CD55A7">
        <w:rPr>
          <w:rFonts w:cs="Arial"/>
          <w:color w:val="000000" w:themeColor="text1"/>
          <w:sz w:val="24"/>
          <w:szCs w:val="24"/>
        </w:rPr>
        <w:t xml:space="preserve"> </w:t>
      </w:r>
      <w:r>
        <w:rPr>
          <w:rFonts w:cs="Arial"/>
          <w:color w:val="000000" w:themeColor="text1"/>
          <w:sz w:val="24"/>
          <w:szCs w:val="24"/>
        </w:rPr>
        <w:t>avoiding its existing U.S. tax obligations.</w:t>
      </w:r>
      <w:r w:rsidR="00CD55A7">
        <w:rPr>
          <w:sz w:val="24"/>
          <w:szCs w:val="24"/>
        </w:rPr>
        <w:t xml:space="preserve"> </w:t>
      </w:r>
      <w:r>
        <w:rPr>
          <w:sz w:val="24"/>
          <w:szCs w:val="24"/>
        </w:rPr>
        <w:t xml:space="preserve">The profits can then be distributed to Allergan’s U.S. shareholders without paying any U.S. taxes. </w:t>
      </w:r>
      <w:r w:rsidR="00FB55E2">
        <w:rPr>
          <w:sz w:val="24"/>
          <w:szCs w:val="24"/>
        </w:rPr>
        <w:t xml:space="preserve">  </w:t>
      </w:r>
    </w:p>
    <w:p w14:paraId="68DA2B35" w14:textId="77777777" w:rsidR="0068456B" w:rsidRDefault="0068456B" w:rsidP="00EE4E0B">
      <w:pPr>
        <w:spacing w:after="0" w:line="240" w:lineRule="auto"/>
        <w:contextualSpacing/>
        <w:rPr>
          <w:sz w:val="24"/>
          <w:szCs w:val="24"/>
        </w:rPr>
      </w:pPr>
    </w:p>
    <w:p w14:paraId="0DF03CA2" w14:textId="38960466" w:rsidR="0068456B" w:rsidRDefault="007856D5" w:rsidP="00EE4E0B">
      <w:pPr>
        <w:spacing w:after="0" w:line="240" w:lineRule="auto"/>
        <w:contextualSpacing/>
        <w:rPr>
          <w:sz w:val="24"/>
          <w:szCs w:val="24"/>
        </w:rPr>
      </w:pPr>
      <w:hyperlink r:id="rId19" w:history="1">
        <w:r w:rsidR="0068456B" w:rsidRPr="007856D5">
          <w:rPr>
            <w:rStyle w:val="Hyperlink"/>
            <w:sz w:val="24"/>
            <w:szCs w:val="24"/>
          </w:rPr>
          <w:t>The Treasury Department issued guidance in 2014</w:t>
        </w:r>
      </w:hyperlink>
      <w:r w:rsidR="0068456B">
        <w:rPr>
          <w:sz w:val="24"/>
          <w:szCs w:val="24"/>
        </w:rPr>
        <w:t xml:space="preserve">, </w:t>
      </w:r>
      <w:r w:rsidR="00CD55A7">
        <w:rPr>
          <w:sz w:val="24"/>
          <w:szCs w:val="24"/>
        </w:rPr>
        <w:t xml:space="preserve">known </w:t>
      </w:r>
      <w:r w:rsidR="0068456B">
        <w:rPr>
          <w:sz w:val="24"/>
          <w:szCs w:val="24"/>
        </w:rPr>
        <w:t xml:space="preserve">officially as a Notice, which sought to </w:t>
      </w:r>
      <w:r w:rsidR="0068456B" w:rsidRPr="00316E8E">
        <w:rPr>
          <w:b/>
          <w:sz w:val="24"/>
          <w:szCs w:val="24"/>
        </w:rPr>
        <w:t>prohibit the use of hopscotch loans to avoid taxes on existing offshore profits at the time of an inversion</w:t>
      </w:r>
      <w:r w:rsidR="0068456B">
        <w:rPr>
          <w:sz w:val="24"/>
          <w:szCs w:val="24"/>
        </w:rPr>
        <w:t xml:space="preserve">. Unfortunately, the way Treasury drafted its Notice, it </w:t>
      </w:r>
      <w:r w:rsidR="00CD55A7">
        <w:rPr>
          <w:sz w:val="24"/>
          <w:szCs w:val="24"/>
        </w:rPr>
        <w:t xml:space="preserve">only applies </w:t>
      </w:r>
      <w:r w:rsidR="0068456B">
        <w:rPr>
          <w:sz w:val="24"/>
          <w:szCs w:val="24"/>
        </w:rPr>
        <w:t xml:space="preserve">when the shareholders of the inverting U.S. company </w:t>
      </w:r>
      <w:r w:rsidR="0068456B" w:rsidRPr="00316E8E">
        <w:rPr>
          <w:b/>
          <w:sz w:val="24"/>
          <w:szCs w:val="24"/>
        </w:rPr>
        <w:t>own 60% or more of the new foreign company</w:t>
      </w:r>
      <w:r w:rsidR="0068456B">
        <w:rPr>
          <w:sz w:val="24"/>
          <w:szCs w:val="24"/>
        </w:rPr>
        <w:t xml:space="preserve">. </w:t>
      </w:r>
    </w:p>
    <w:p w14:paraId="10ECDA2F" w14:textId="77777777" w:rsidR="0068456B" w:rsidRDefault="0068456B" w:rsidP="00EE4E0B">
      <w:pPr>
        <w:spacing w:after="0" w:line="240" w:lineRule="auto"/>
        <w:contextualSpacing/>
        <w:rPr>
          <w:sz w:val="24"/>
          <w:szCs w:val="24"/>
        </w:rPr>
      </w:pPr>
    </w:p>
    <w:p w14:paraId="69B298F8" w14:textId="7E2635EC" w:rsidR="0068456B" w:rsidRPr="00316E8E" w:rsidRDefault="0068456B" w:rsidP="00EE4E0B">
      <w:pPr>
        <w:spacing w:after="0" w:line="240" w:lineRule="auto"/>
        <w:contextualSpacing/>
        <w:rPr>
          <w:sz w:val="24"/>
          <w:szCs w:val="24"/>
        </w:rPr>
      </w:pPr>
      <w:r>
        <w:rPr>
          <w:sz w:val="24"/>
          <w:szCs w:val="24"/>
        </w:rPr>
        <w:t xml:space="preserve">Cleverly, Pfizer structured its merger with Allergan so that </w:t>
      </w:r>
      <w:hyperlink r:id="rId20" w:history="1">
        <w:r w:rsidRPr="00067E30">
          <w:rPr>
            <w:rStyle w:val="Hyperlink"/>
            <w:sz w:val="24"/>
            <w:szCs w:val="24"/>
          </w:rPr>
          <w:t xml:space="preserve">Pfizer’s </w:t>
        </w:r>
        <w:r w:rsidRPr="00003958">
          <w:rPr>
            <w:rStyle w:val="Hyperlink"/>
            <w:sz w:val="24"/>
            <w:szCs w:val="24"/>
          </w:rPr>
          <w:t>shareholders own 56% of Allergan</w:t>
        </w:r>
      </w:hyperlink>
      <w:r w:rsidRPr="00067E30">
        <w:rPr>
          <w:sz w:val="24"/>
          <w:szCs w:val="24"/>
        </w:rPr>
        <w:t xml:space="preserve"> – just below the 60% requirement. Th</w:t>
      </w:r>
      <w:r w:rsidR="00CD55A7" w:rsidRPr="00003958">
        <w:rPr>
          <w:sz w:val="24"/>
          <w:szCs w:val="24"/>
        </w:rPr>
        <w:t>us,</w:t>
      </w:r>
      <w:r w:rsidRPr="00003958">
        <w:rPr>
          <w:sz w:val="24"/>
          <w:szCs w:val="24"/>
        </w:rPr>
        <w:t xml:space="preserve"> the Treasury rule that </w:t>
      </w:r>
      <w:r w:rsidRPr="00316E8E">
        <w:rPr>
          <w:i/>
          <w:sz w:val="24"/>
          <w:szCs w:val="24"/>
        </w:rPr>
        <w:t>prohibits</w:t>
      </w:r>
      <w:r w:rsidRPr="00067E30">
        <w:rPr>
          <w:sz w:val="24"/>
          <w:szCs w:val="24"/>
        </w:rPr>
        <w:t xml:space="preserve"> tax</w:t>
      </w:r>
      <w:r>
        <w:rPr>
          <w:sz w:val="24"/>
          <w:szCs w:val="24"/>
        </w:rPr>
        <w:t xml:space="preserve"> </w:t>
      </w:r>
      <w:r w:rsidR="00CD55A7">
        <w:rPr>
          <w:sz w:val="24"/>
          <w:szCs w:val="24"/>
        </w:rPr>
        <w:t xml:space="preserve">breaks from </w:t>
      </w:r>
      <w:r>
        <w:rPr>
          <w:sz w:val="24"/>
          <w:szCs w:val="24"/>
        </w:rPr>
        <w:t>hopscotch loan</w:t>
      </w:r>
      <w:r w:rsidR="00CD55A7">
        <w:rPr>
          <w:sz w:val="24"/>
          <w:szCs w:val="24"/>
        </w:rPr>
        <w:t>s</w:t>
      </w:r>
      <w:r>
        <w:rPr>
          <w:sz w:val="24"/>
          <w:szCs w:val="24"/>
        </w:rPr>
        <w:t xml:space="preserve"> will </w:t>
      </w:r>
      <w:r w:rsidRPr="00316E8E">
        <w:rPr>
          <w:i/>
          <w:sz w:val="24"/>
          <w:szCs w:val="24"/>
        </w:rPr>
        <w:t xml:space="preserve">not </w:t>
      </w:r>
      <w:r>
        <w:rPr>
          <w:sz w:val="24"/>
          <w:szCs w:val="24"/>
        </w:rPr>
        <w:t xml:space="preserve">apply. So Pfizer will be free and clear to loan its offshore profits to </w:t>
      </w:r>
      <w:r w:rsidR="00CD55A7">
        <w:rPr>
          <w:sz w:val="24"/>
          <w:szCs w:val="24"/>
        </w:rPr>
        <w:t xml:space="preserve">Allergan, </w:t>
      </w:r>
      <w:r>
        <w:rPr>
          <w:sz w:val="24"/>
          <w:szCs w:val="24"/>
        </w:rPr>
        <w:t xml:space="preserve">its new </w:t>
      </w:r>
      <w:r w:rsidR="00CD55A7">
        <w:rPr>
          <w:sz w:val="24"/>
          <w:szCs w:val="24"/>
        </w:rPr>
        <w:t xml:space="preserve">foreign </w:t>
      </w:r>
      <w:r>
        <w:rPr>
          <w:sz w:val="24"/>
          <w:szCs w:val="24"/>
        </w:rPr>
        <w:t>parent</w:t>
      </w:r>
      <w:r w:rsidR="00CD55A7">
        <w:rPr>
          <w:sz w:val="24"/>
          <w:szCs w:val="24"/>
        </w:rPr>
        <w:t>,</w:t>
      </w:r>
      <w:r>
        <w:rPr>
          <w:sz w:val="24"/>
          <w:szCs w:val="24"/>
        </w:rPr>
        <w:t xml:space="preserve"> and dodge up to $35 billion in U.S. taxes. </w:t>
      </w:r>
    </w:p>
    <w:p w14:paraId="32AED74E" w14:textId="77777777" w:rsidR="00FB55E2" w:rsidRDefault="00FB55E2" w:rsidP="00EE4E0B">
      <w:pPr>
        <w:spacing w:after="0" w:line="240" w:lineRule="auto"/>
        <w:contextualSpacing/>
        <w:rPr>
          <w:b/>
          <w:sz w:val="24"/>
          <w:szCs w:val="24"/>
        </w:rPr>
      </w:pPr>
    </w:p>
    <w:p w14:paraId="10AC8F3D" w14:textId="789A0149" w:rsidR="0068456B" w:rsidRDefault="0068456B" w:rsidP="00EE4E0B">
      <w:pPr>
        <w:spacing w:after="0" w:line="240" w:lineRule="auto"/>
        <w:contextualSpacing/>
        <w:rPr>
          <w:sz w:val="24"/>
          <w:szCs w:val="24"/>
        </w:rPr>
      </w:pPr>
      <w:r>
        <w:rPr>
          <w:sz w:val="24"/>
          <w:szCs w:val="24"/>
        </w:rPr>
        <w:t>Pfizer’s tax dodge</w:t>
      </w:r>
      <w:r w:rsidR="00CD55A7">
        <w:rPr>
          <w:sz w:val="24"/>
          <w:szCs w:val="24"/>
        </w:rPr>
        <w:t xml:space="preserve"> is already being copycatted</w:t>
      </w:r>
      <w:r>
        <w:rPr>
          <w:sz w:val="24"/>
          <w:szCs w:val="24"/>
        </w:rPr>
        <w:t xml:space="preserve">. </w:t>
      </w:r>
      <w:r w:rsidRPr="00316E8E">
        <w:rPr>
          <w:sz w:val="24"/>
          <w:szCs w:val="24"/>
        </w:rPr>
        <w:t>Johnson Controls,</w:t>
      </w:r>
      <w:r>
        <w:rPr>
          <w:sz w:val="24"/>
          <w:szCs w:val="24"/>
        </w:rPr>
        <w:t xml:space="preserve"> a Milwaukee firm, announced </w:t>
      </w:r>
      <w:r w:rsidR="00CD55A7">
        <w:rPr>
          <w:sz w:val="24"/>
          <w:szCs w:val="24"/>
        </w:rPr>
        <w:t xml:space="preserve">in </w:t>
      </w:r>
      <w:r w:rsidR="00003958">
        <w:rPr>
          <w:sz w:val="24"/>
          <w:szCs w:val="24"/>
        </w:rPr>
        <w:t xml:space="preserve">January </w:t>
      </w:r>
      <w:r w:rsidR="00CD55A7">
        <w:rPr>
          <w:sz w:val="24"/>
          <w:szCs w:val="24"/>
        </w:rPr>
        <w:t xml:space="preserve">that it </w:t>
      </w:r>
      <w:r>
        <w:rPr>
          <w:sz w:val="24"/>
          <w:szCs w:val="24"/>
        </w:rPr>
        <w:t xml:space="preserve">plans to merge with Tyco International, </w:t>
      </w:r>
      <w:r w:rsidR="00447A65">
        <w:rPr>
          <w:sz w:val="24"/>
          <w:szCs w:val="24"/>
        </w:rPr>
        <w:t xml:space="preserve">a former U.S. company </w:t>
      </w:r>
      <w:r>
        <w:rPr>
          <w:sz w:val="24"/>
          <w:szCs w:val="24"/>
        </w:rPr>
        <w:t xml:space="preserve">also based in </w:t>
      </w:r>
      <w:r w:rsidR="00447A65">
        <w:rPr>
          <w:sz w:val="24"/>
          <w:szCs w:val="24"/>
        </w:rPr>
        <w:t xml:space="preserve">Ireland. </w:t>
      </w:r>
      <w:r w:rsidR="00CD55A7" w:rsidRPr="00067E30">
        <w:rPr>
          <w:sz w:val="24"/>
          <w:szCs w:val="24"/>
        </w:rPr>
        <w:t xml:space="preserve">Johnson Controls </w:t>
      </w:r>
      <w:r w:rsidR="00447A65" w:rsidRPr="00067E30">
        <w:rPr>
          <w:sz w:val="24"/>
          <w:szCs w:val="24"/>
        </w:rPr>
        <w:t>structured the deal</w:t>
      </w:r>
      <w:r w:rsidR="00447A65">
        <w:rPr>
          <w:sz w:val="24"/>
          <w:szCs w:val="24"/>
        </w:rPr>
        <w:t xml:space="preserve"> so its shareholders will own </w:t>
      </w:r>
      <w:hyperlink r:id="rId21" w:history="1">
        <w:r w:rsidR="00447A65" w:rsidRPr="00316E8E">
          <w:rPr>
            <w:rStyle w:val="Hyperlink"/>
          </w:rPr>
          <w:t>56% of the new foreign parent</w:t>
        </w:r>
      </w:hyperlink>
      <w:r w:rsidR="00447A65">
        <w:rPr>
          <w:sz w:val="24"/>
          <w:szCs w:val="24"/>
        </w:rPr>
        <w:t xml:space="preserve">. </w:t>
      </w:r>
      <w:r w:rsidR="00CD55A7">
        <w:rPr>
          <w:sz w:val="24"/>
          <w:szCs w:val="24"/>
        </w:rPr>
        <w:t xml:space="preserve">On March 20, </w:t>
      </w:r>
      <w:r w:rsidR="00CD55A7" w:rsidRPr="00316E8E">
        <w:rPr>
          <w:sz w:val="24"/>
          <w:szCs w:val="24"/>
        </w:rPr>
        <w:t xml:space="preserve">IHS, a large data company based in Colorado, announced it will merge with </w:t>
      </w:r>
      <w:r w:rsidR="00B23ED7" w:rsidRPr="00316E8E">
        <w:rPr>
          <w:sz w:val="24"/>
          <w:szCs w:val="24"/>
        </w:rPr>
        <w:t xml:space="preserve">a smaller </w:t>
      </w:r>
      <w:r w:rsidR="00CD55A7" w:rsidRPr="00316E8E">
        <w:rPr>
          <w:sz w:val="24"/>
          <w:szCs w:val="24"/>
        </w:rPr>
        <w:t xml:space="preserve">rival Markit and </w:t>
      </w:r>
      <w:r w:rsidR="00B23ED7" w:rsidRPr="00316E8E">
        <w:rPr>
          <w:sz w:val="24"/>
          <w:szCs w:val="24"/>
        </w:rPr>
        <w:t xml:space="preserve">reincorporate in </w:t>
      </w:r>
      <w:r w:rsidR="00CD55A7" w:rsidRPr="00316E8E">
        <w:rPr>
          <w:sz w:val="24"/>
          <w:szCs w:val="24"/>
        </w:rPr>
        <w:t>London.</w:t>
      </w:r>
      <w:r w:rsidR="00B23ED7" w:rsidRPr="00316E8E">
        <w:rPr>
          <w:sz w:val="24"/>
          <w:szCs w:val="24"/>
        </w:rPr>
        <w:t xml:space="preserve"> </w:t>
      </w:r>
      <w:hyperlink r:id="rId22" w:history="1">
        <w:r w:rsidR="00B23ED7" w:rsidRPr="00316E8E">
          <w:rPr>
            <w:rStyle w:val="Hyperlink"/>
            <w:sz w:val="24"/>
            <w:szCs w:val="24"/>
          </w:rPr>
          <w:t>I</w:t>
        </w:r>
        <w:r w:rsidR="00B23ED7" w:rsidRPr="00B23ED7">
          <w:rPr>
            <w:rStyle w:val="Hyperlink"/>
            <w:sz w:val="24"/>
            <w:szCs w:val="24"/>
          </w:rPr>
          <w:t>H</w:t>
        </w:r>
        <w:r w:rsidR="00B23ED7" w:rsidRPr="00316E8E">
          <w:rPr>
            <w:rStyle w:val="Hyperlink"/>
            <w:sz w:val="24"/>
            <w:szCs w:val="24"/>
          </w:rPr>
          <w:t>S</w:t>
        </w:r>
        <w:r w:rsidR="00B23ED7" w:rsidRPr="00B23ED7">
          <w:rPr>
            <w:rStyle w:val="Hyperlink"/>
            <w:sz w:val="24"/>
            <w:szCs w:val="24"/>
          </w:rPr>
          <w:t xml:space="preserve"> shareholders will </w:t>
        </w:r>
        <w:r w:rsidR="00B23ED7">
          <w:rPr>
            <w:rStyle w:val="Hyperlink"/>
            <w:sz w:val="24"/>
            <w:szCs w:val="24"/>
          </w:rPr>
          <w:t xml:space="preserve">own </w:t>
        </w:r>
        <w:r w:rsidR="00B23ED7" w:rsidRPr="00B23ED7">
          <w:rPr>
            <w:rStyle w:val="Hyperlink"/>
            <w:sz w:val="24"/>
            <w:szCs w:val="24"/>
          </w:rPr>
          <w:t>57%</w:t>
        </w:r>
      </w:hyperlink>
      <w:r w:rsidR="00B23ED7">
        <w:rPr>
          <w:sz w:val="24"/>
          <w:szCs w:val="24"/>
        </w:rPr>
        <w:t xml:space="preserve"> of the merged company.</w:t>
      </w:r>
      <w:r w:rsidR="00B23ED7">
        <w:rPr>
          <w:rFonts w:ascii="Helvetica" w:hAnsi="Helvetica" w:cs="Helvetica"/>
          <w:color w:val="5A5A5A"/>
        </w:rPr>
        <w:t xml:space="preserve"> </w:t>
      </w:r>
    </w:p>
    <w:p w14:paraId="23387702" w14:textId="77777777" w:rsidR="002F0AF2" w:rsidRDefault="002F0AF2" w:rsidP="00EE4E0B">
      <w:pPr>
        <w:spacing w:after="0" w:line="240" w:lineRule="auto"/>
        <w:contextualSpacing/>
        <w:rPr>
          <w:sz w:val="24"/>
          <w:szCs w:val="24"/>
        </w:rPr>
      </w:pPr>
    </w:p>
    <w:p w14:paraId="47454311" w14:textId="0B322766" w:rsidR="00077269" w:rsidRPr="00077269" w:rsidRDefault="00077269" w:rsidP="00EE4E0B">
      <w:pPr>
        <w:spacing w:after="0" w:line="240" w:lineRule="auto"/>
        <w:contextualSpacing/>
        <w:rPr>
          <w:b/>
          <w:sz w:val="24"/>
          <w:szCs w:val="24"/>
        </w:rPr>
      </w:pPr>
      <w:r w:rsidRPr="00316E8E">
        <w:rPr>
          <w:b/>
          <w:sz w:val="24"/>
          <w:szCs w:val="24"/>
        </w:rPr>
        <w:t xml:space="preserve">Treasury’s Authority to Close the </w:t>
      </w:r>
      <w:r w:rsidR="00B23ED7">
        <w:rPr>
          <w:b/>
          <w:sz w:val="24"/>
          <w:szCs w:val="24"/>
        </w:rPr>
        <w:t>“</w:t>
      </w:r>
      <w:r w:rsidRPr="00316E8E">
        <w:rPr>
          <w:b/>
          <w:sz w:val="24"/>
          <w:szCs w:val="24"/>
        </w:rPr>
        <w:t>Pfizer Loophole</w:t>
      </w:r>
      <w:r w:rsidR="00B23ED7">
        <w:rPr>
          <w:b/>
          <w:sz w:val="24"/>
          <w:szCs w:val="24"/>
        </w:rPr>
        <w:t>”</w:t>
      </w:r>
    </w:p>
    <w:p w14:paraId="424325CD" w14:textId="77777777" w:rsidR="0068456B" w:rsidRDefault="0068456B" w:rsidP="00EE4E0B">
      <w:pPr>
        <w:spacing w:after="0" w:line="240" w:lineRule="auto"/>
        <w:contextualSpacing/>
        <w:rPr>
          <w:b/>
          <w:sz w:val="24"/>
          <w:szCs w:val="24"/>
        </w:rPr>
      </w:pPr>
    </w:p>
    <w:p w14:paraId="367F0F8A" w14:textId="41A4856A" w:rsidR="00CB7E3F" w:rsidRDefault="00B23ED7" w:rsidP="00CB7E3F">
      <w:pPr>
        <w:spacing w:after="0" w:line="240" w:lineRule="auto"/>
        <w:contextualSpacing/>
        <w:rPr>
          <w:sz w:val="24"/>
          <w:szCs w:val="24"/>
        </w:rPr>
      </w:pPr>
      <w:r>
        <w:rPr>
          <w:sz w:val="24"/>
          <w:szCs w:val="24"/>
        </w:rPr>
        <w:t>Likely within the next few weeks, t</w:t>
      </w:r>
      <w:r w:rsidR="00CB7E3F" w:rsidRPr="00C27625">
        <w:rPr>
          <w:sz w:val="24"/>
          <w:szCs w:val="24"/>
        </w:rPr>
        <w:t xml:space="preserve">he Treasury Department </w:t>
      </w:r>
      <w:r>
        <w:rPr>
          <w:sz w:val="24"/>
          <w:szCs w:val="24"/>
        </w:rPr>
        <w:t xml:space="preserve">will </w:t>
      </w:r>
      <w:r w:rsidR="00CB7E3F" w:rsidRPr="00C27625">
        <w:rPr>
          <w:sz w:val="24"/>
          <w:szCs w:val="24"/>
        </w:rPr>
        <w:t>finaliz</w:t>
      </w:r>
      <w:r>
        <w:rPr>
          <w:sz w:val="24"/>
          <w:szCs w:val="24"/>
        </w:rPr>
        <w:t>e</w:t>
      </w:r>
      <w:r w:rsidR="00CB7E3F" w:rsidRPr="00C27625">
        <w:rPr>
          <w:sz w:val="24"/>
          <w:szCs w:val="24"/>
        </w:rPr>
        <w:t xml:space="preserve"> a regulation </w:t>
      </w:r>
      <w:r>
        <w:rPr>
          <w:sz w:val="24"/>
          <w:szCs w:val="24"/>
        </w:rPr>
        <w:t xml:space="preserve">that implements </w:t>
      </w:r>
      <w:hyperlink r:id="rId23" w:history="1">
        <w:r w:rsidR="00CB7E3F" w:rsidRPr="00C27625">
          <w:rPr>
            <w:rStyle w:val="Hyperlink"/>
            <w:sz w:val="24"/>
            <w:szCs w:val="24"/>
          </w:rPr>
          <w:t xml:space="preserve">notices </w:t>
        </w:r>
        <w:r>
          <w:rPr>
            <w:rStyle w:val="Hyperlink"/>
            <w:sz w:val="24"/>
            <w:szCs w:val="24"/>
          </w:rPr>
          <w:t xml:space="preserve">it </w:t>
        </w:r>
        <w:r w:rsidR="00CB7E3F" w:rsidRPr="00C27625">
          <w:rPr>
            <w:rStyle w:val="Hyperlink"/>
            <w:sz w:val="24"/>
            <w:szCs w:val="24"/>
          </w:rPr>
          <w:t>issued in 2014</w:t>
        </w:r>
      </w:hyperlink>
      <w:r w:rsidR="00CB7E3F" w:rsidRPr="00C27625">
        <w:rPr>
          <w:sz w:val="24"/>
          <w:szCs w:val="24"/>
        </w:rPr>
        <w:t xml:space="preserve"> and </w:t>
      </w:r>
      <w:hyperlink r:id="rId24" w:history="1">
        <w:r w:rsidR="00CB7E3F" w:rsidRPr="00C27625">
          <w:rPr>
            <w:rStyle w:val="Hyperlink"/>
            <w:sz w:val="24"/>
            <w:szCs w:val="24"/>
          </w:rPr>
          <w:t>2015</w:t>
        </w:r>
      </w:hyperlink>
      <w:r w:rsidR="00CB7E3F" w:rsidRPr="00C27625">
        <w:rPr>
          <w:sz w:val="24"/>
          <w:szCs w:val="24"/>
        </w:rPr>
        <w:t xml:space="preserve">, which </w:t>
      </w:r>
      <w:r w:rsidR="007856D5">
        <w:rPr>
          <w:sz w:val="24"/>
          <w:szCs w:val="24"/>
        </w:rPr>
        <w:t xml:space="preserve">were intended to </w:t>
      </w:r>
      <w:r w:rsidR="00CB7E3F" w:rsidRPr="00C27625">
        <w:rPr>
          <w:sz w:val="24"/>
          <w:szCs w:val="24"/>
        </w:rPr>
        <w:t>reduce the tax benefits of corporate inversions and addressed certain instances of post-inversion tax avoidance</w:t>
      </w:r>
      <w:r>
        <w:rPr>
          <w:sz w:val="24"/>
          <w:szCs w:val="24"/>
        </w:rPr>
        <w:t>, such as hopscotch loans</w:t>
      </w:r>
      <w:r w:rsidR="00CB7E3F" w:rsidRPr="00C27625">
        <w:rPr>
          <w:sz w:val="24"/>
          <w:szCs w:val="24"/>
        </w:rPr>
        <w:t>.</w:t>
      </w:r>
      <w:r w:rsidR="00CB7E3F">
        <w:rPr>
          <w:sz w:val="24"/>
          <w:szCs w:val="24"/>
        </w:rPr>
        <w:t xml:space="preserve">  </w:t>
      </w:r>
    </w:p>
    <w:p w14:paraId="5F3E2AD9" w14:textId="77777777" w:rsidR="00CB7E3F" w:rsidRDefault="00CB7E3F" w:rsidP="00EE4E0B">
      <w:pPr>
        <w:spacing w:after="0" w:line="240" w:lineRule="auto"/>
        <w:contextualSpacing/>
        <w:rPr>
          <w:b/>
          <w:sz w:val="24"/>
          <w:szCs w:val="24"/>
        </w:rPr>
      </w:pPr>
    </w:p>
    <w:p w14:paraId="3DCA502E" w14:textId="5F9F0EEB" w:rsidR="00B33BCB" w:rsidRDefault="00B23ED7" w:rsidP="00566738">
      <w:pPr>
        <w:spacing w:after="0" w:line="240" w:lineRule="auto"/>
        <w:contextualSpacing/>
        <w:rPr>
          <w:sz w:val="24"/>
          <w:szCs w:val="24"/>
        </w:rPr>
      </w:pPr>
      <w:r>
        <w:rPr>
          <w:sz w:val="24"/>
          <w:szCs w:val="24"/>
        </w:rPr>
        <w:t xml:space="preserve">In the final regulation, </w:t>
      </w:r>
      <w:r w:rsidR="008F45AF" w:rsidRPr="00316E8E">
        <w:rPr>
          <w:sz w:val="24"/>
          <w:szCs w:val="24"/>
        </w:rPr>
        <w:t xml:space="preserve">Treasury </w:t>
      </w:r>
      <w:r w:rsidR="00F00939" w:rsidRPr="00316E8E">
        <w:rPr>
          <w:sz w:val="24"/>
          <w:szCs w:val="24"/>
        </w:rPr>
        <w:t>can</w:t>
      </w:r>
      <w:r w:rsidR="008F45AF" w:rsidRPr="00316E8E">
        <w:rPr>
          <w:sz w:val="24"/>
          <w:szCs w:val="24"/>
        </w:rPr>
        <w:t xml:space="preserve"> make a simple fix that </w:t>
      </w:r>
      <w:r w:rsidR="00EE4E0B" w:rsidRPr="00316E8E">
        <w:rPr>
          <w:sz w:val="24"/>
          <w:szCs w:val="24"/>
        </w:rPr>
        <w:t xml:space="preserve">would prevent </w:t>
      </w:r>
      <w:r w:rsidR="008E7505" w:rsidRPr="00316E8E">
        <w:rPr>
          <w:sz w:val="24"/>
          <w:szCs w:val="24"/>
        </w:rPr>
        <w:t>Pfizer</w:t>
      </w:r>
      <w:r>
        <w:rPr>
          <w:sz w:val="24"/>
          <w:szCs w:val="24"/>
        </w:rPr>
        <w:t xml:space="preserve">, </w:t>
      </w:r>
      <w:r w:rsidR="008E7505" w:rsidRPr="00316E8E">
        <w:rPr>
          <w:sz w:val="24"/>
          <w:szCs w:val="24"/>
        </w:rPr>
        <w:t>Johnson Controls,</w:t>
      </w:r>
      <w:r w:rsidR="00EE4E0B" w:rsidRPr="00316E8E">
        <w:rPr>
          <w:sz w:val="24"/>
          <w:szCs w:val="24"/>
        </w:rPr>
        <w:t xml:space="preserve"> </w:t>
      </w:r>
      <w:r>
        <w:rPr>
          <w:sz w:val="24"/>
          <w:szCs w:val="24"/>
        </w:rPr>
        <w:t xml:space="preserve">IHS </w:t>
      </w:r>
      <w:r w:rsidR="00D02AC4">
        <w:rPr>
          <w:sz w:val="24"/>
          <w:szCs w:val="24"/>
        </w:rPr>
        <w:t xml:space="preserve">and most likely other companies </w:t>
      </w:r>
      <w:r>
        <w:rPr>
          <w:sz w:val="24"/>
          <w:szCs w:val="24"/>
        </w:rPr>
        <w:t xml:space="preserve">that invert </w:t>
      </w:r>
      <w:r w:rsidR="00EE4E0B" w:rsidRPr="00316E8E">
        <w:rPr>
          <w:sz w:val="24"/>
          <w:szCs w:val="24"/>
        </w:rPr>
        <w:t xml:space="preserve">from using </w:t>
      </w:r>
      <w:r>
        <w:rPr>
          <w:sz w:val="24"/>
          <w:szCs w:val="24"/>
        </w:rPr>
        <w:t xml:space="preserve">hopscotch loans </w:t>
      </w:r>
      <w:r w:rsidR="00EE4E0B" w:rsidRPr="00316E8E">
        <w:rPr>
          <w:sz w:val="24"/>
          <w:szCs w:val="24"/>
        </w:rPr>
        <w:t xml:space="preserve">to permanently dodge </w:t>
      </w:r>
      <w:r>
        <w:rPr>
          <w:sz w:val="24"/>
          <w:szCs w:val="24"/>
        </w:rPr>
        <w:t xml:space="preserve">the </w:t>
      </w:r>
      <w:r w:rsidR="00EE4E0B" w:rsidRPr="00316E8E">
        <w:rPr>
          <w:sz w:val="24"/>
          <w:szCs w:val="24"/>
        </w:rPr>
        <w:t>U.S. taxes</w:t>
      </w:r>
      <w:r>
        <w:rPr>
          <w:sz w:val="24"/>
          <w:szCs w:val="24"/>
        </w:rPr>
        <w:t xml:space="preserve"> they </w:t>
      </w:r>
      <w:r w:rsidR="008B713E">
        <w:rPr>
          <w:sz w:val="24"/>
          <w:szCs w:val="24"/>
        </w:rPr>
        <w:t xml:space="preserve">currently </w:t>
      </w:r>
      <w:r>
        <w:rPr>
          <w:sz w:val="24"/>
          <w:szCs w:val="24"/>
        </w:rPr>
        <w:t>owe on existing offshore profits</w:t>
      </w:r>
      <w:r w:rsidR="00EE4E0B" w:rsidRPr="00316E8E">
        <w:rPr>
          <w:sz w:val="24"/>
          <w:szCs w:val="24"/>
        </w:rPr>
        <w:t xml:space="preserve">. </w:t>
      </w:r>
    </w:p>
    <w:p w14:paraId="6A5F743A" w14:textId="2F84E1C4" w:rsidR="00C13EB4" w:rsidRDefault="00C13EB4" w:rsidP="00566738">
      <w:pPr>
        <w:spacing w:after="0" w:line="240" w:lineRule="auto"/>
        <w:contextualSpacing/>
        <w:rPr>
          <w:rFonts w:cs="Arial"/>
          <w:color w:val="000000" w:themeColor="text1"/>
          <w:sz w:val="24"/>
          <w:szCs w:val="24"/>
        </w:rPr>
      </w:pPr>
    </w:p>
    <w:p w14:paraId="7289E9E1" w14:textId="77777777" w:rsidR="00C13EB4" w:rsidRDefault="00C13EB4" w:rsidP="00566738">
      <w:pPr>
        <w:spacing w:after="0" w:line="240" w:lineRule="auto"/>
        <w:contextualSpacing/>
        <w:rPr>
          <w:rFonts w:cs="Arial"/>
          <w:color w:val="000000" w:themeColor="text1"/>
          <w:sz w:val="24"/>
          <w:szCs w:val="24"/>
        </w:rPr>
      </w:pPr>
      <w:r>
        <w:rPr>
          <w:rFonts w:cs="Arial"/>
          <w:color w:val="000000" w:themeColor="text1"/>
          <w:sz w:val="24"/>
          <w:szCs w:val="24"/>
        </w:rPr>
        <w:t xml:space="preserve">Treasury appropriately used its authority under </w:t>
      </w:r>
      <w:hyperlink r:id="rId25" w:history="1">
        <w:r>
          <w:rPr>
            <w:rStyle w:val="Hyperlink"/>
            <w:rFonts w:cs="Arial"/>
            <w:sz w:val="24"/>
            <w:szCs w:val="24"/>
          </w:rPr>
          <w:t>Section 956</w:t>
        </w:r>
      </w:hyperlink>
      <w:r>
        <w:rPr>
          <w:rFonts w:cs="Arial"/>
          <w:color w:val="000000" w:themeColor="text1"/>
          <w:sz w:val="24"/>
          <w:szCs w:val="24"/>
        </w:rPr>
        <w:t xml:space="preserve"> of the Tax Code to prohibit such post-inversion tax avoidance in its 2014 Notice but only applied it to inversions under </w:t>
      </w:r>
      <w:hyperlink r:id="rId26" w:history="1">
        <w:r>
          <w:rPr>
            <w:rStyle w:val="Hyperlink"/>
            <w:rFonts w:cs="Arial"/>
            <w:sz w:val="24"/>
            <w:szCs w:val="24"/>
          </w:rPr>
          <w:t>Section 7874</w:t>
        </w:r>
      </w:hyperlink>
      <w:r>
        <w:t xml:space="preserve"> </w:t>
      </w:r>
      <w:r w:rsidRPr="005F6C36">
        <w:rPr>
          <w:sz w:val="24"/>
          <w:szCs w:val="24"/>
        </w:rPr>
        <w:t xml:space="preserve">of the Tax Code. Section 7874 only applies </w:t>
      </w:r>
      <w:r w:rsidRPr="005F6C36">
        <w:rPr>
          <w:rFonts w:cs="Arial"/>
          <w:color w:val="000000" w:themeColor="text1"/>
          <w:sz w:val="24"/>
          <w:szCs w:val="24"/>
        </w:rPr>
        <w:t>when the new foreign parent company is at least</w:t>
      </w:r>
      <w:r>
        <w:rPr>
          <w:rFonts w:cs="Arial"/>
          <w:color w:val="000000" w:themeColor="text1"/>
          <w:sz w:val="24"/>
          <w:szCs w:val="24"/>
        </w:rPr>
        <w:t xml:space="preserve"> 60% owned by the original shareholders of the former U.S. parent. Treasury’s final rule </w:t>
      </w:r>
      <w:r>
        <w:rPr>
          <w:rFonts w:cs="Arial"/>
          <w:color w:val="000000" w:themeColor="text1"/>
          <w:sz w:val="24"/>
          <w:szCs w:val="24"/>
        </w:rPr>
        <w:lastRenderedPageBreak/>
        <w:t xml:space="preserve">should be decoupled from Section 7874 so that inversions where less than 60% of the shareholders of the new foreign parent are the original U.S. shareholders will apply. This would prohibit the tax breaks sought by Pfizer, Johnson Controls, and IHS and others most likely coming down the pike if these tax-dodging inversions succeed. </w:t>
      </w:r>
    </w:p>
    <w:p w14:paraId="018650F5" w14:textId="77777777" w:rsidR="00C13EB4" w:rsidRDefault="00C13EB4" w:rsidP="00566738">
      <w:pPr>
        <w:spacing w:after="0" w:line="240" w:lineRule="auto"/>
        <w:contextualSpacing/>
        <w:rPr>
          <w:rFonts w:cs="Arial"/>
          <w:color w:val="000000" w:themeColor="text1"/>
          <w:sz w:val="24"/>
          <w:szCs w:val="24"/>
        </w:rPr>
      </w:pPr>
    </w:p>
    <w:p w14:paraId="2E745308" w14:textId="71D5D934" w:rsidR="00C13EB4" w:rsidRPr="005F6C36" w:rsidRDefault="00C13EB4" w:rsidP="00566738">
      <w:pPr>
        <w:spacing w:after="0" w:line="240" w:lineRule="auto"/>
        <w:contextualSpacing/>
        <w:rPr>
          <w:rFonts w:cs="Arial"/>
          <w:b/>
          <w:color w:val="000000" w:themeColor="text1"/>
          <w:sz w:val="24"/>
          <w:szCs w:val="24"/>
        </w:rPr>
      </w:pPr>
      <w:r w:rsidRPr="005F6C36">
        <w:rPr>
          <w:rFonts w:cs="Arial"/>
          <w:b/>
          <w:color w:val="000000" w:themeColor="text1"/>
          <w:sz w:val="24"/>
          <w:szCs w:val="24"/>
        </w:rPr>
        <w:t xml:space="preserve">Treasury now has ample evidence that companies are trying to get around its initial Notice and it has broad authority to prevent </w:t>
      </w:r>
      <w:r w:rsidR="00331B73" w:rsidRPr="005F6C36">
        <w:rPr>
          <w:rFonts w:cs="Arial"/>
          <w:b/>
          <w:color w:val="000000" w:themeColor="text1"/>
          <w:sz w:val="24"/>
          <w:szCs w:val="24"/>
        </w:rPr>
        <w:t xml:space="preserve">such tax avoidance. </w:t>
      </w:r>
    </w:p>
    <w:p w14:paraId="69A52C91" w14:textId="77777777" w:rsidR="00C13EB4" w:rsidRDefault="00C13EB4" w:rsidP="00566738">
      <w:pPr>
        <w:spacing w:after="0" w:line="240" w:lineRule="auto"/>
        <w:contextualSpacing/>
        <w:rPr>
          <w:sz w:val="24"/>
          <w:szCs w:val="24"/>
        </w:rPr>
      </w:pPr>
    </w:p>
    <w:p w14:paraId="53BC0132" w14:textId="61948B93" w:rsidR="00077269" w:rsidRDefault="005E0CE8" w:rsidP="00316E8E">
      <w:pPr>
        <w:widowControl w:val="0"/>
        <w:autoSpaceDE w:val="0"/>
        <w:autoSpaceDN w:val="0"/>
        <w:adjustRightInd w:val="0"/>
        <w:spacing w:after="0" w:line="240" w:lineRule="auto"/>
        <w:rPr>
          <w:sz w:val="24"/>
          <w:szCs w:val="24"/>
        </w:rPr>
      </w:pPr>
      <w:r>
        <w:rPr>
          <w:rFonts w:cs="Arial"/>
          <w:color w:val="000000" w:themeColor="text1"/>
          <w:sz w:val="24"/>
          <w:szCs w:val="24"/>
        </w:rPr>
        <w:t xml:space="preserve">As reported in </w:t>
      </w:r>
      <w:hyperlink r:id="rId27" w:history="1">
        <w:r w:rsidRPr="005E0CE8">
          <w:rPr>
            <w:rStyle w:val="Hyperlink"/>
            <w:rFonts w:cs="Arial"/>
            <w:sz w:val="24"/>
            <w:szCs w:val="24"/>
          </w:rPr>
          <w:t>The Wall Street Journal</w:t>
        </w:r>
      </w:hyperlink>
      <w:r>
        <w:rPr>
          <w:rFonts w:cs="Arial"/>
          <w:color w:val="000000" w:themeColor="text1"/>
          <w:sz w:val="24"/>
          <w:szCs w:val="24"/>
        </w:rPr>
        <w:t xml:space="preserve">, </w:t>
      </w:r>
      <w:r w:rsidRPr="002B3F2B">
        <w:rPr>
          <w:rFonts w:cs="Arial"/>
          <w:color w:val="000000" w:themeColor="text1"/>
          <w:sz w:val="24"/>
          <w:szCs w:val="24"/>
        </w:rPr>
        <w:t xml:space="preserve">Harvard Law School senior lecturer Stephen Shay, who previously served as Deputy Assistant Secretary for International Tax Affairs in the Treasury Department, argued in a recent </w:t>
      </w:r>
      <w:hyperlink r:id="rId28" w:history="1">
        <w:r w:rsidRPr="002B3F2B">
          <w:rPr>
            <w:rStyle w:val="Hyperlink"/>
            <w:rFonts w:cs="Arial"/>
            <w:sz w:val="24"/>
            <w:szCs w:val="24"/>
          </w:rPr>
          <w:t>Tax Notes article</w:t>
        </w:r>
      </w:hyperlink>
      <w:r w:rsidRPr="002B3F2B">
        <w:rPr>
          <w:rFonts w:cs="Arial"/>
          <w:color w:val="000000" w:themeColor="text1"/>
          <w:sz w:val="24"/>
          <w:szCs w:val="24"/>
        </w:rPr>
        <w:t xml:space="preserve"> that Treasury</w:t>
      </w:r>
      <w:r>
        <w:rPr>
          <w:rFonts w:cs="Arial"/>
          <w:color w:val="000000" w:themeColor="text1"/>
          <w:sz w:val="24"/>
          <w:szCs w:val="24"/>
        </w:rPr>
        <w:t xml:space="preserve"> can use its existing regulatory authority to prevent the use of hopscotch loans to dodge taxes. Nine</w:t>
      </w:r>
      <w:r>
        <w:rPr>
          <w:sz w:val="24"/>
          <w:szCs w:val="24"/>
        </w:rPr>
        <w:t xml:space="preserve"> members of the U.S. House of Representatives made a similar case to Treasury in a </w:t>
      </w:r>
      <w:hyperlink r:id="rId29" w:history="1">
        <w:r w:rsidRPr="005E0CE8">
          <w:rPr>
            <w:rStyle w:val="Hyperlink"/>
            <w:sz w:val="24"/>
            <w:szCs w:val="24"/>
          </w:rPr>
          <w:t>recent letter</w:t>
        </w:r>
      </w:hyperlink>
      <w:r>
        <w:rPr>
          <w:sz w:val="24"/>
          <w:szCs w:val="24"/>
        </w:rPr>
        <w:t xml:space="preserve">. Fifty-five national organizations also made the case to Treasury in a </w:t>
      </w:r>
      <w:hyperlink r:id="rId30" w:history="1">
        <w:r w:rsidRPr="005E0CE8">
          <w:rPr>
            <w:rStyle w:val="Hyperlink"/>
            <w:sz w:val="24"/>
            <w:szCs w:val="24"/>
          </w:rPr>
          <w:t>recent letter</w:t>
        </w:r>
      </w:hyperlink>
      <w:r>
        <w:rPr>
          <w:sz w:val="24"/>
          <w:szCs w:val="24"/>
        </w:rPr>
        <w:t xml:space="preserve">, which explained Treasury’s legal authority (see pp. 4-5).  </w:t>
      </w:r>
    </w:p>
    <w:p w14:paraId="6946695D" w14:textId="77777777" w:rsidR="005E0CE8" w:rsidRDefault="005E0CE8" w:rsidP="00566738">
      <w:pPr>
        <w:spacing w:after="0" w:line="240" w:lineRule="auto"/>
        <w:contextualSpacing/>
        <w:rPr>
          <w:sz w:val="24"/>
          <w:szCs w:val="24"/>
        </w:rPr>
      </w:pPr>
    </w:p>
    <w:p w14:paraId="6400812D" w14:textId="400A0D00" w:rsidR="00A65694" w:rsidRPr="00316E8E" w:rsidRDefault="00A65694" w:rsidP="00566738">
      <w:pPr>
        <w:spacing w:after="0" w:line="240" w:lineRule="auto"/>
        <w:contextualSpacing/>
        <w:rPr>
          <w:b/>
          <w:sz w:val="24"/>
          <w:szCs w:val="24"/>
        </w:rPr>
      </w:pPr>
      <w:r w:rsidRPr="00316E8E">
        <w:rPr>
          <w:b/>
          <w:sz w:val="24"/>
          <w:szCs w:val="24"/>
        </w:rPr>
        <w:t xml:space="preserve">Pfizer’s Other Tax Dodging and Drug Price Gouging </w:t>
      </w:r>
    </w:p>
    <w:p w14:paraId="50771BB1" w14:textId="77777777" w:rsidR="00A65694" w:rsidRDefault="00A65694" w:rsidP="00566738">
      <w:pPr>
        <w:spacing w:after="0" w:line="240" w:lineRule="auto"/>
        <w:contextualSpacing/>
        <w:rPr>
          <w:sz w:val="24"/>
          <w:szCs w:val="24"/>
        </w:rPr>
      </w:pPr>
    </w:p>
    <w:p w14:paraId="4ADBA19A" w14:textId="7B6711F8" w:rsidR="003A412B" w:rsidRDefault="003A412B" w:rsidP="00566738">
      <w:pPr>
        <w:spacing w:after="0" w:line="240" w:lineRule="auto"/>
        <w:contextualSpacing/>
        <w:rPr>
          <w:sz w:val="24"/>
          <w:szCs w:val="24"/>
        </w:rPr>
      </w:pPr>
      <w:r>
        <w:rPr>
          <w:sz w:val="24"/>
          <w:szCs w:val="24"/>
        </w:rPr>
        <w:t>Should you decide to draft an opinion piece about th</w:t>
      </w:r>
      <w:r w:rsidR="000207C2">
        <w:rPr>
          <w:sz w:val="24"/>
          <w:szCs w:val="24"/>
        </w:rPr>
        <w:t>e</w:t>
      </w:r>
      <w:r>
        <w:rPr>
          <w:sz w:val="24"/>
          <w:szCs w:val="24"/>
        </w:rPr>
        <w:t xml:space="preserve"> Pfizer tax dodge, you may find </w:t>
      </w:r>
      <w:r w:rsidR="000207C2">
        <w:rPr>
          <w:sz w:val="24"/>
          <w:szCs w:val="24"/>
        </w:rPr>
        <w:t xml:space="preserve">helpful </w:t>
      </w:r>
      <w:r>
        <w:rPr>
          <w:sz w:val="24"/>
          <w:szCs w:val="24"/>
        </w:rPr>
        <w:t xml:space="preserve">this other information from the </w:t>
      </w:r>
      <w:hyperlink r:id="rId31" w:history="1">
        <w:r w:rsidRPr="003A412B">
          <w:rPr>
            <w:rStyle w:val="Hyperlink"/>
            <w:sz w:val="24"/>
            <w:szCs w:val="24"/>
          </w:rPr>
          <w:t>ATF Pfizer report</w:t>
        </w:r>
      </w:hyperlink>
      <w:r>
        <w:rPr>
          <w:sz w:val="24"/>
          <w:szCs w:val="24"/>
        </w:rPr>
        <w:t xml:space="preserve">: </w:t>
      </w:r>
    </w:p>
    <w:p w14:paraId="1BE0CE51" w14:textId="77777777" w:rsidR="003A412B" w:rsidRDefault="003A412B" w:rsidP="00566738">
      <w:pPr>
        <w:spacing w:after="0" w:line="240" w:lineRule="auto"/>
        <w:contextualSpacing/>
        <w:rPr>
          <w:sz w:val="24"/>
          <w:szCs w:val="24"/>
        </w:rPr>
      </w:pPr>
    </w:p>
    <w:p w14:paraId="09A3302D" w14:textId="2E1AEA69" w:rsidR="00D728BC" w:rsidRPr="00316E8E" w:rsidRDefault="00D728BC" w:rsidP="00316E8E">
      <w:pPr>
        <w:pStyle w:val="ListParagraph"/>
        <w:widowControl w:val="0"/>
        <w:numPr>
          <w:ilvl w:val="0"/>
          <w:numId w:val="2"/>
        </w:numPr>
        <w:autoSpaceDE w:val="0"/>
        <w:autoSpaceDN w:val="0"/>
        <w:adjustRightInd w:val="0"/>
        <w:rPr>
          <w:sz w:val="24"/>
          <w:szCs w:val="24"/>
        </w:rPr>
      </w:pPr>
      <w:r w:rsidRPr="00316E8E">
        <w:rPr>
          <w:sz w:val="24"/>
          <w:szCs w:val="24"/>
        </w:rPr>
        <w:t xml:space="preserve">Pfizer’s 2014 worldwide corporate tax rate—which the company advertised as 25.5% and held up as a rationale for its tax-avoiding inversion—was really only 7.5%. </w:t>
      </w:r>
      <w:hyperlink r:id="rId32" w:history="1">
        <w:r w:rsidRPr="00316E8E">
          <w:rPr>
            <w:rStyle w:val="Hyperlink"/>
            <w:sz w:val="24"/>
            <w:szCs w:val="24"/>
          </w:rPr>
          <w:t xml:space="preserve">This figure was confirmed by </w:t>
        </w:r>
        <w:r w:rsidRPr="00316E8E">
          <w:rPr>
            <w:rStyle w:val="Hyperlink"/>
            <w:i/>
            <w:sz w:val="24"/>
            <w:szCs w:val="24"/>
          </w:rPr>
          <w:t>The Wall Street Journal</w:t>
        </w:r>
      </w:hyperlink>
      <w:r>
        <w:rPr>
          <w:rStyle w:val="Hyperlink"/>
          <w:i/>
          <w:sz w:val="24"/>
          <w:szCs w:val="24"/>
        </w:rPr>
        <w:t>.</w:t>
      </w:r>
      <w:r w:rsidRPr="00316E8E">
        <w:rPr>
          <w:sz w:val="24"/>
          <w:szCs w:val="24"/>
        </w:rPr>
        <w:t xml:space="preserve"> ATF estimated Pfizer’s worldwide tax rate to be only an average of 6.4% between 2010 and 2014, as opposed to the company’s claim of 24%. </w:t>
      </w:r>
    </w:p>
    <w:p w14:paraId="00C26D7B" w14:textId="77777777" w:rsidR="00D728BC" w:rsidRDefault="00D728BC" w:rsidP="00566738">
      <w:pPr>
        <w:spacing w:after="0" w:line="240" w:lineRule="auto"/>
        <w:contextualSpacing/>
        <w:rPr>
          <w:sz w:val="24"/>
          <w:szCs w:val="24"/>
        </w:rPr>
      </w:pPr>
    </w:p>
    <w:p w14:paraId="6016F644" w14:textId="44620BAB" w:rsidR="00CC32AB" w:rsidRPr="001D697F" w:rsidRDefault="00CC32AB" w:rsidP="00CC32AB">
      <w:pPr>
        <w:pStyle w:val="NoSpacing"/>
        <w:numPr>
          <w:ilvl w:val="0"/>
          <w:numId w:val="1"/>
        </w:numPr>
        <w:ind w:left="360"/>
        <w:rPr>
          <w:b w:val="0"/>
        </w:rPr>
      </w:pPr>
      <w:r w:rsidRPr="00C202E9">
        <w:t>Pfizer’s tax dodge has a human cost</w:t>
      </w:r>
      <w:r w:rsidRPr="001D697F">
        <w:rPr>
          <w:b w:val="0"/>
        </w:rPr>
        <w:t xml:space="preserve">. The estimated $35 billion in taxes Pfizer </w:t>
      </w:r>
      <w:r>
        <w:rPr>
          <w:b w:val="0"/>
        </w:rPr>
        <w:t xml:space="preserve">will </w:t>
      </w:r>
      <w:r w:rsidR="00D728BC">
        <w:rPr>
          <w:b w:val="0"/>
        </w:rPr>
        <w:t>dodge could</w:t>
      </w:r>
      <w:r w:rsidRPr="001D697F">
        <w:rPr>
          <w:b w:val="0"/>
        </w:rPr>
        <w:t xml:space="preserve"> fund the National Cancer Institute for almost seven years, p</w:t>
      </w:r>
      <w:r w:rsidRPr="001D697F">
        <w:rPr>
          <w:rFonts w:cs="Times New Roman"/>
          <w:b w:val="0"/>
          <w:shd w:val="clear" w:color="auto" w:fill="FFFFFF"/>
        </w:rPr>
        <w:t>rovide high-quality preschool for all low- and moderate-income four-year olds for nearly five years,</w:t>
      </w:r>
      <w:r w:rsidRPr="001D697F">
        <w:rPr>
          <w:b w:val="0"/>
        </w:rPr>
        <w:t xml:space="preserve"> or p</w:t>
      </w:r>
      <w:r w:rsidRPr="001D697F">
        <w:rPr>
          <w:rFonts w:cs="Times New Roman"/>
          <w:b w:val="0"/>
          <w:shd w:val="clear" w:color="auto" w:fill="FFFFFF"/>
        </w:rPr>
        <w:t xml:space="preserve">rovide free tuition for two years of community college for up to </w:t>
      </w:r>
      <w:r w:rsidR="00D728BC">
        <w:rPr>
          <w:rFonts w:cs="Times New Roman"/>
          <w:b w:val="0"/>
          <w:shd w:val="clear" w:color="auto" w:fill="FFFFFF"/>
        </w:rPr>
        <w:t xml:space="preserve">9 </w:t>
      </w:r>
      <w:r w:rsidRPr="001D697F">
        <w:rPr>
          <w:rFonts w:cs="Times New Roman"/>
          <w:b w:val="0"/>
          <w:shd w:val="clear" w:color="auto" w:fill="FFFFFF"/>
        </w:rPr>
        <w:t>million students over five years.</w:t>
      </w:r>
    </w:p>
    <w:p w14:paraId="41473B72" w14:textId="77777777" w:rsidR="00CC32AB" w:rsidRDefault="00CC32AB" w:rsidP="00566738">
      <w:pPr>
        <w:spacing w:after="0" w:line="240" w:lineRule="auto"/>
        <w:contextualSpacing/>
        <w:rPr>
          <w:sz w:val="24"/>
          <w:szCs w:val="24"/>
        </w:rPr>
      </w:pPr>
    </w:p>
    <w:p w14:paraId="70B0440F" w14:textId="7192CB57" w:rsidR="00CC32AB" w:rsidRPr="003037E6" w:rsidRDefault="00CC32AB" w:rsidP="00CC32AB">
      <w:pPr>
        <w:pStyle w:val="ListParagraph"/>
        <w:widowControl w:val="0"/>
        <w:numPr>
          <w:ilvl w:val="0"/>
          <w:numId w:val="1"/>
        </w:numPr>
        <w:autoSpaceDE w:val="0"/>
        <w:autoSpaceDN w:val="0"/>
        <w:adjustRightInd w:val="0"/>
        <w:ind w:left="360"/>
        <w:rPr>
          <w:sz w:val="24"/>
          <w:szCs w:val="24"/>
        </w:rPr>
      </w:pPr>
      <w:r w:rsidRPr="003037E6">
        <w:rPr>
          <w:b/>
          <w:sz w:val="24"/>
          <w:szCs w:val="24"/>
        </w:rPr>
        <w:t xml:space="preserve">Pfizer has routinely hiked the prices of dozens of prescription drugs at 10 times or more the rate of inflation each year since 2012. </w:t>
      </w:r>
      <w:r w:rsidRPr="003037E6">
        <w:rPr>
          <w:sz w:val="24"/>
          <w:szCs w:val="24"/>
        </w:rPr>
        <w:t>Seven of Pfizer’s top selling drugs had their prices hiked an average of 39% over two years—from 2013 to 2015—under the Medicare Part D prescription drug program, 23 times the inflation rate.</w:t>
      </w:r>
      <w:r w:rsidRPr="003037E6">
        <w:rPr>
          <w:rFonts w:cs="Arial"/>
          <w:color w:val="1A1A1A"/>
          <w:sz w:val="24"/>
          <w:szCs w:val="24"/>
        </w:rPr>
        <w:t xml:space="preserve"> Lipitor, Pfizer’s widely-prescribed cholesterol treatment, jumped 35% during that period. </w:t>
      </w:r>
      <w:r w:rsidRPr="003037E6">
        <w:rPr>
          <w:sz w:val="24"/>
          <w:szCs w:val="24"/>
        </w:rPr>
        <w:t>Pfizer’s nerve medication Lyrica spiked 77% between 2010 and 2014, under the same program.</w:t>
      </w:r>
      <w:r w:rsidRPr="003037E6">
        <w:rPr>
          <w:color w:val="1A1A1A"/>
          <w:sz w:val="24"/>
          <w:szCs w:val="24"/>
        </w:rPr>
        <w:t xml:space="preserve"> About 38.1 million Americans are enrolled in Medicare’s Part D prescription drug program</w:t>
      </w:r>
      <w:r w:rsidRPr="003037E6">
        <w:rPr>
          <w:rFonts w:ascii="Calibri" w:eastAsia="Calibri" w:hAnsi="Calibri" w:cs="Times New Roman"/>
          <w:sz w:val="24"/>
          <w:szCs w:val="24"/>
        </w:rPr>
        <w:t xml:space="preserve">. </w:t>
      </w:r>
    </w:p>
    <w:p w14:paraId="352FE484" w14:textId="77777777" w:rsidR="00CC32AB" w:rsidRPr="007E6971" w:rsidRDefault="00CC32AB" w:rsidP="00CC32AB">
      <w:pPr>
        <w:pStyle w:val="ListParagraph"/>
        <w:rPr>
          <w:sz w:val="24"/>
          <w:szCs w:val="24"/>
        </w:rPr>
      </w:pPr>
    </w:p>
    <w:p w14:paraId="095E798B" w14:textId="77777777" w:rsidR="00CC32AB" w:rsidRPr="003A4426" w:rsidRDefault="00CC32AB" w:rsidP="00CC32AB">
      <w:pPr>
        <w:pStyle w:val="ListParagraph"/>
        <w:numPr>
          <w:ilvl w:val="0"/>
          <w:numId w:val="1"/>
        </w:numPr>
        <w:ind w:left="360"/>
        <w:rPr>
          <w:rFonts w:cs="Arial"/>
          <w:b/>
          <w:color w:val="1A1A1A"/>
          <w:sz w:val="24"/>
          <w:szCs w:val="24"/>
        </w:rPr>
      </w:pPr>
      <w:r w:rsidRPr="00BE5FE1">
        <w:rPr>
          <w:rFonts w:cs="Times"/>
          <w:b/>
          <w:sz w:val="24"/>
          <w:szCs w:val="24"/>
        </w:rPr>
        <w:t xml:space="preserve">If Pfizer wants to be an Irish company </w:t>
      </w:r>
      <w:r w:rsidRPr="003A4426">
        <w:rPr>
          <w:rFonts w:cs="Times"/>
          <w:b/>
          <w:sz w:val="24"/>
          <w:szCs w:val="24"/>
        </w:rPr>
        <w:t xml:space="preserve">to cut its taxes but still be based </w:t>
      </w:r>
      <w:r>
        <w:rPr>
          <w:rFonts w:cs="Times"/>
          <w:b/>
          <w:sz w:val="24"/>
          <w:szCs w:val="24"/>
        </w:rPr>
        <w:t>i</w:t>
      </w:r>
      <w:r w:rsidRPr="003A4426">
        <w:rPr>
          <w:rFonts w:cs="Times"/>
          <w:b/>
          <w:sz w:val="24"/>
          <w:szCs w:val="24"/>
        </w:rPr>
        <w:t>n America, then it should</w:t>
      </w:r>
      <w:r w:rsidRPr="00BE5FE1">
        <w:rPr>
          <w:rFonts w:cs="Times"/>
          <w:b/>
          <w:sz w:val="24"/>
          <w:szCs w:val="24"/>
        </w:rPr>
        <w:t xml:space="preserve"> charge American patients the </w:t>
      </w:r>
      <w:r>
        <w:rPr>
          <w:rFonts w:cs="Times"/>
          <w:b/>
          <w:sz w:val="24"/>
          <w:szCs w:val="24"/>
        </w:rPr>
        <w:t xml:space="preserve">same </w:t>
      </w:r>
      <w:r w:rsidRPr="00BE5FE1">
        <w:rPr>
          <w:rFonts w:cs="Times"/>
          <w:b/>
          <w:sz w:val="24"/>
          <w:szCs w:val="24"/>
        </w:rPr>
        <w:t xml:space="preserve">much lower </w:t>
      </w:r>
      <w:r w:rsidRPr="003A4426">
        <w:rPr>
          <w:rFonts w:cs="Times"/>
          <w:b/>
          <w:sz w:val="24"/>
          <w:szCs w:val="24"/>
        </w:rPr>
        <w:t xml:space="preserve">drug </w:t>
      </w:r>
      <w:r w:rsidRPr="00BE5FE1">
        <w:rPr>
          <w:rFonts w:cs="Times"/>
          <w:b/>
          <w:sz w:val="24"/>
          <w:szCs w:val="24"/>
        </w:rPr>
        <w:t xml:space="preserve">prices it charges </w:t>
      </w:r>
      <w:r w:rsidRPr="003A4426">
        <w:rPr>
          <w:rFonts w:cs="Times"/>
          <w:b/>
          <w:sz w:val="24"/>
          <w:szCs w:val="24"/>
        </w:rPr>
        <w:t xml:space="preserve">Irish </w:t>
      </w:r>
      <w:r w:rsidRPr="00BE5FE1">
        <w:rPr>
          <w:rFonts w:cs="Times"/>
          <w:b/>
          <w:sz w:val="24"/>
          <w:szCs w:val="24"/>
        </w:rPr>
        <w:t>consumers</w:t>
      </w:r>
      <w:r w:rsidRPr="003A4426">
        <w:rPr>
          <w:rFonts w:cs="Times"/>
          <w:b/>
          <w:sz w:val="24"/>
          <w:szCs w:val="24"/>
        </w:rPr>
        <w:t xml:space="preserve">. </w:t>
      </w:r>
      <w:r w:rsidRPr="003A4426">
        <w:rPr>
          <w:rFonts w:cs="Times"/>
          <w:sz w:val="24"/>
          <w:szCs w:val="24"/>
        </w:rPr>
        <w:t xml:space="preserve">Pfizer charges 12 times as much on this side of the Atlantic </w:t>
      </w:r>
      <w:r>
        <w:rPr>
          <w:rFonts w:cs="Times"/>
          <w:sz w:val="24"/>
          <w:szCs w:val="24"/>
        </w:rPr>
        <w:t xml:space="preserve">under the Medicare program </w:t>
      </w:r>
      <w:r w:rsidRPr="003A4426">
        <w:rPr>
          <w:rFonts w:cs="Times"/>
          <w:sz w:val="24"/>
          <w:szCs w:val="24"/>
        </w:rPr>
        <w:t xml:space="preserve">for the same seven top-selling drugs as it charges in Ireland. </w:t>
      </w:r>
    </w:p>
    <w:p w14:paraId="3FEAB26D" w14:textId="77777777" w:rsidR="005E0CE8" w:rsidRDefault="005E0CE8" w:rsidP="00566738">
      <w:pPr>
        <w:spacing w:after="0" w:line="240" w:lineRule="auto"/>
        <w:contextualSpacing/>
        <w:rPr>
          <w:sz w:val="24"/>
          <w:szCs w:val="24"/>
        </w:rPr>
      </w:pPr>
    </w:p>
    <w:p w14:paraId="06C1F609" w14:textId="77777777" w:rsidR="00CC32AB" w:rsidRPr="00E925D6" w:rsidRDefault="00CC32AB" w:rsidP="00CC32AB">
      <w:pPr>
        <w:pStyle w:val="NormalWeb"/>
        <w:numPr>
          <w:ilvl w:val="0"/>
          <w:numId w:val="1"/>
        </w:numPr>
        <w:spacing w:before="0" w:beforeAutospacing="0" w:after="0" w:afterAutospacing="0"/>
        <w:ind w:left="360"/>
        <w:rPr>
          <w:rFonts w:asciiTheme="minorHAnsi" w:hAnsiTheme="minorHAnsi"/>
        </w:rPr>
      </w:pPr>
      <w:r w:rsidRPr="00E925D6">
        <w:rPr>
          <w:rFonts w:asciiTheme="minorHAnsi" w:hAnsiTheme="minorHAnsi"/>
          <w:b/>
        </w:rPr>
        <w:lastRenderedPageBreak/>
        <w:t>While Americans suffer from lost tax revenue and high drug prices, Pfizer thrives</w:t>
      </w:r>
      <w:r w:rsidRPr="00E925D6">
        <w:rPr>
          <w:rFonts w:asciiTheme="minorHAnsi" w:hAnsiTheme="minorHAnsi"/>
        </w:rPr>
        <w:t xml:space="preserve">. </w:t>
      </w:r>
      <w:r>
        <w:rPr>
          <w:rFonts w:asciiTheme="minorHAnsi" w:hAnsiTheme="minorHAnsi"/>
        </w:rPr>
        <w:t xml:space="preserve">Over the last five years, Pfizer has had sales averaging more than $50 billion a year, with earnings averaging $9.4 billion for a robust profit margin of nearly 18%. Pfizer’s 2015 earnings margin of 18.8% is up nearly 50% since 2011. </w:t>
      </w:r>
    </w:p>
    <w:p w14:paraId="5A085CE2" w14:textId="77777777" w:rsidR="00CC32AB" w:rsidRPr="00B6718B" w:rsidRDefault="00CC32AB" w:rsidP="00CC32AB">
      <w:pPr>
        <w:pStyle w:val="NormalWeb"/>
        <w:spacing w:before="0" w:beforeAutospacing="0" w:after="0" w:afterAutospacing="0"/>
        <w:ind w:left="360"/>
        <w:rPr>
          <w:rFonts w:asciiTheme="minorHAnsi" w:hAnsiTheme="minorHAnsi"/>
        </w:rPr>
      </w:pPr>
    </w:p>
    <w:p w14:paraId="0DE02AFD" w14:textId="77777777" w:rsidR="00CC32AB" w:rsidRPr="00C574E9" w:rsidRDefault="00CC32AB" w:rsidP="00CC32AB">
      <w:pPr>
        <w:pStyle w:val="NormalWeb"/>
        <w:numPr>
          <w:ilvl w:val="0"/>
          <w:numId w:val="1"/>
        </w:numPr>
        <w:spacing w:before="0" w:beforeAutospacing="0" w:after="0" w:afterAutospacing="0"/>
        <w:ind w:left="360"/>
        <w:rPr>
          <w:rFonts w:asciiTheme="minorHAnsi" w:hAnsiTheme="minorHAnsi"/>
        </w:rPr>
      </w:pPr>
      <w:r w:rsidRPr="00125DA8">
        <w:rPr>
          <w:rFonts w:asciiTheme="minorHAnsi" w:hAnsiTheme="minorHAnsi" w:cs="Arial"/>
          <w:b/>
          <w:color w:val="1A1A1A"/>
        </w:rPr>
        <w:t xml:space="preserve">Pfizer </w:t>
      </w:r>
      <w:r>
        <w:rPr>
          <w:rFonts w:asciiTheme="minorHAnsi" w:hAnsiTheme="minorHAnsi" w:cs="Arial"/>
          <w:b/>
          <w:color w:val="1A1A1A"/>
        </w:rPr>
        <w:t>got</w:t>
      </w:r>
      <w:r w:rsidRPr="00125DA8">
        <w:rPr>
          <w:rFonts w:asciiTheme="minorHAnsi" w:hAnsiTheme="minorHAnsi" w:cs="Arial"/>
          <w:b/>
          <w:color w:val="1A1A1A"/>
        </w:rPr>
        <w:t xml:space="preserve"> $5 billion in federal contracts over a recent five-year span. </w:t>
      </w:r>
      <w:r w:rsidRPr="00125DA8">
        <w:rPr>
          <w:rFonts w:asciiTheme="minorHAnsi" w:hAnsiTheme="minorHAnsi" w:cs="Arial"/>
          <w:color w:val="1A1A1A"/>
        </w:rPr>
        <w:t xml:space="preserve">Even as the company avoids paying its rightful share of taxes to </w:t>
      </w:r>
      <w:r>
        <w:rPr>
          <w:rFonts w:asciiTheme="minorHAnsi" w:hAnsiTheme="minorHAnsi" w:cs="Arial"/>
          <w:color w:val="1A1A1A"/>
        </w:rPr>
        <w:t>America</w:t>
      </w:r>
      <w:r w:rsidRPr="00125DA8">
        <w:rPr>
          <w:rFonts w:asciiTheme="minorHAnsi" w:hAnsiTheme="minorHAnsi" w:cs="Arial"/>
          <w:color w:val="1A1A1A"/>
        </w:rPr>
        <w:t>, the U.S. is paying the company about a billion dollars a year for prescription drugs</w:t>
      </w:r>
      <w:r>
        <w:rPr>
          <w:rFonts w:asciiTheme="minorHAnsi" w:hAnsiTheme="minorHAnsi" w:cs="Arial"/>
          <w:color w:val="1A1A1A"/>
        </w:rPr>
        <w:t>. F</w:t>
      </w:r>
      <w:r w:rsidRPr="00125DA8">
        <w:rPr>
          <w:rFonts w:asciiTheme="minorHAnsi" w:hAnsiTheme="minorHAnsi" w:cs="Arial"/>
          <w:color w:val="1A1A1A"/>
        </w:rPr>
        <w:t xml:space="preserve">ederal government contracts represent about 5% of the company’s total U.S. sales.  </w:t>
      </w:r>
    </w:p>
    <w:p w14:paraId="6BDDDA10" w14:textId="77777777" w:rsidR="00CC32AB" w:rsidRDefault="00CC32AB" w:rsidP="00CC32AB">
      <w:pPr>
        <w:pStyle w:val="NormalWeb"/>
        <w:spacing w:before="0" w:beforeAutospacing="0" w:after="0" w:afterAutospacing="0"/>
        <w:ind w:left="360"/>
        <w:rPr>
          <w:rFonts w:asciiTheme="minorHAnsi" w:hAnsiTheme="minorHAnsi"/>
        </w:rPr>
      </w:pPr>
    </w:p>
    <w:p w14:paraId="20799203" w14:textId="77777777" w:rsidR="00CC32AB" w:rsidRDefault="00CC32AB" w:rsidP="00CC32AB">
      <w:pPr>
        <w:pStyle w:val="NormalWeb"/>
        <w:numPr>
          <w:ilvl w:val="0"/>
          <w:numId w:val="1"/>
        </w:numPr>
        <w:spacing w:before="0" w:beforeAutospacing="0" w:after="0" w:afterAutospacing="0"/>
        <w:ind w:left="360"/>
        <w:rPr>
          <w:rFonts w:asciiTheme="minorHAnsi" w:hAnsiTheme="minorHAnsi"/>
        </w:rPr>
      </w:pPr>
      <w:r>
        <w:rPr>
          <w:rFonts w:asciiTheme="minorHAnsi" w:hAnsiTheme="minorHAnsi" w:cs="Arial"/>
          <w:b/>
          <w:color w:val="1A1A1A"/>
        </w:rPr>
        <w:t xml:space="preserve">Taxpayers provided </w:t>
      </w:r>
      <w:r w:rsidRPr="00125DA8">
        <w:rPr>
          <w:rFonts w:asciiTheme="minorHAnsi" w:hAnsiTheme="minorHAnsi" w:cs="Arial"/>
          <w:b/>
          <w:color w:val="1A1A1A"/>
        </w:rPr>
        <w:t xml:space="preserve">Pfizer </w:t>
      </w:r>
      <w:r>
        <w:rPr>
          <w:rFonts w:asciiTheme="minorHAnsi" w:hAnsiTheme="minorHAnsi" w:cs="Arial"/>
          <w:b/>
          <w:color w:val="1A1A1A"/>
        </w:rPr>
        <w:t xml:space="preserve">with </w:t>
      </w:r>
      <w:r w:rsidRPr="00125DA8">
        <w:rPr>
          <w:rFonts w:asciiTheme="minorHAnsi" w:hAnsiTheme="minorHAnsi" w:cs="Arial"/>
          <w:b/>
          <w:color w:val="1A1A1A"/>
        </w:rPr>
        <w:t>$</w:t>
      </w:r>
      <w:r>
        <w:rPr>
          <w:rFonts w:asciiTheme="minorHAnsi" w:hAnsiTheme="minorHAnsi" w:cs="Arial"/>
          <w:b/>
          <w:color w:val="1A1A1A"/>
        </w:rPr>
        <w:t>591</w:t>
      </w:r>
      <w:r w:rsidRPr="00125DA8">
        <w:rPr>
          <w:rFonts w:asciiTheme="minorHAnsi" w:hAnsiTheme="minorHAnsi" w:cs="Arial"/>
          <w:b/>
          <w:color w:val="1A1A1A"/>
        </w:rPr>
        <w:t xml:space="preserve"> </w:t>
      </w:r>
      <w:r>
        <w:rPr>
          <w:rFonts w:asciiTheme="minorHAnsi" w:hAnsiTheme="minorHAnsi" w:cs="Arial"/>
          <w:b/>
          <w:color w:val="1A1A1A"/>
        </w:rPr>
        <w:t>m</w:t>
      </w:r>
      <w:r w:rsidRPr="00125DA8">
        <w:rPr>
          <w:rFonts w:asciiTheme="minorHAnsi" w:hAnsiTheme="minorHAnsi" w:cs="Arial"/>
          <w:b/>
          <w:color w:val="1A1A1A"/>
        </w:rPr>
        <w:t xml:space="preserve">illion </w:t>
      </w:r>
      <w:r>
        <w:rPr>
          <w:rFonts w:asciiTheme="minorHAnsi" w:hAnsiTheme="minorHAnsi" w:cs="Arial"/>
          <w:b/>
          <w:color w:val="1A1A1A"/>
        </w:rPr>
        <w:t xml:space="preserve">in tax breaks </w:t>
      </w:r>
      <w:r w:rsidRPr="00125DA8">
        <w:rPr>
          <w:rFonts w:asciiTheme="minorHAnsi" w:hAnsiTheme="minorHAnsi" w:cs="Arial"/>
          <w:b/>
          <w:color w:val="1A1A1A"/>
        </w:rPr>
        <w:t xml:space="preserve">over </w:t>
      </w:r>
      <w:r>
        <w:rPr>
          <w:rFonts w:asciiTheme="minorHAnsi" w:hAnsiTheme="minorHAnsi" w:cs="Arial"/>
          <w:b/>
          <w:color w:val="1A1A1A"/>
        </w:rPr>
        <w:t xml:space="preserve">the last </w:t>
      </w:r>
      <w:r w:rsidRPr="00125DA8">
        <w:rPr>
          <w:rFonts w:asciiTheme="minorHAnsi" w:hAnsiTheme="minorHAnsi" w:cs="Arial"/>
          <w:b/>
          <w:color w:val="1A1A1A"/>
        </w:rPr>
        <w:t xml:space="preserve">five years </w:t>
      </w:r>
      <w:r>
        <w:rPr>
          <w:rFonts w:asciiTheme="minorHAnsi" w:hAnsiTheme="minorHAnsi" w:cs="Arial"/>
          <w:b/>
          <w:color w:val="1A1A1A"/>
        </w:rPr>
        <w:t xml:space="preserve">through federal </w:t>
      </w:r>
      <w:r w:rsidRPr="00125DA8">
        <w:rPr>
          <w:rFonts w:asciiTheme="minorHAnsi" w:hAnsiTheme="minorHAnsi" w:cs="Arial"/>
          <w:b/>
          <w:color w:val="1A1A1A"/>
        </w:rPr>
        <w:t>research</w:t>
      </w:r>
      <w:r>
        <w:rPr>
          <w:rFonts w:asciiTheme="minorHAnsi" w:hAnsiTheme="minorHAnsi" w:cs="Arial"/>
          <w:b/>
          <w:color w:val="1A1A1A"/>
        </w:rPr>
        <w:t xml:space="preserve"> and </w:t>
      </w:r>
      <w:r w:rsidRPr="00125DA8">
        <w:rPr>
          <w:rFonts w:asciiTheme="minorHAnsi" w:hAnsiTheme="minorHAnsi" w:cs="Arial"/>
          <w:b/>
          <w:color w:val="1A1A1A"/>
        </w:rPr>
        <w:t>experimentation</w:t>
      </w:r>
      <w:r>
        <w:rPr>
          <w:rFonts w:asciiTheme="minorHAnsi" w:hAnsiTheme="minorHAnsi" w:cs="Arial"/>
          <w:b/>
          <w:color w:val="1A1A1A"/>
        </w:rPr>
        <w:t xml:space="preserve"> tax credits</w:t>
      </w:r>
      <w:r w:rsidRPr="00125DA8">
        <w:rPr>
          <w:rFonts w:asciiTheme="minorHAnsi" w:hAnsiTheme="minorHAnsi" w:cs="Arial"/>
          <w:b/>
          <w:color w:val="1A1A1A"/>
        </w:rPr>
        <w:t xml:space="preserve"> and </w:t>
      </w:r>
      <w:r>
        <w:rPr>
          <w:rFonts w:asciiTheme="minorHAnsi" w:hAnsiTheme="minorHAnsi" w:cs="Arial"/>
          <w:b/>
          <w:color w:val="1A1A1A"/>
        </w:rPr>
        <w:t xml:space="preserve">domestic </w:t>
      </w:r>
      <w:r w:rsidRPr="00125DA8">
        <w:rPr>
          <w:rFonts w:asciiTheme="minorHAnsi" w:hAnsiTheme="minorHAnsi" w:cs="Arial"/>
          <w:b/>
          <w:color w:val="1A1A1A"/>
        </w:rPr>
        <w:t>manufacturing</w:t>
      </w:r>
      <w:r>
        <w:rPr>
          <w:rFonts w:asciiTheme="minorHAnsi" w:hAnsiTheme="minorHAnsi" w:cs="Arial"/>
          <w:b/>
          <w:color w:val="1A1A1A"/>
        </w:rPr>
        <w:t xml:space="preserve"> </w:t>
      </w:r>
      <w:r w:rsidRPr="00125DA8">
        <w:rPr>
          <w:rFonts w:asciiTheme="minorHAnsi" w:hAnsiTheme="minorHAnsi" w:cs="Arial"/>
          <w:b/>
          <w:color w:val="1A1A1A"/>
        </w:rPr>
        <w:t>tax</w:t>
      </w:r>
      <w:r>
        <w:rPr>
          <w:rFonts w:asciiTheme="minorHAnsi" w:hAnsiTheme="minorHAnsi" w:cs="Arial"/>
          <w:b/>
          <w:color w:val="1A1A1A"/>
        </w:rPr>
        <w:t xml:space="preserve"> deductions</w:t>
      </w:r>
      <w:r w:rsidRPr="00125DA8">
        <w:rPr>
          <w:rFonts w:asciiTheme="minorHAnsi" w:hAnsiTheme="minorHAnsi" w:cs="Arial"/>
          <w:b/>
          <w:color w:val="1A1A1A"/>
        </w:rPr>
        <w:t>.</w:t>
      </w:r>
      <w:r w:rsidRPr="00125DA8">
        <w:rPr>
          <w:rFonts w:asciiTheme="minorHAnsi" w:hAnsiTheme="minorHAnsi"/>
        </w:rPr>
        <w:t xml:space="preserve"> </w:t>
      </w:r>
      <w:r>
        <w:rPr>
          <w:rFonts w:asciiTheme="minorHAnsi" w:hAnsiTheme="minorHAnsi"/>
        </w:rPr>
        <w:t>This is a costly taxpayer subsidy to a company that is charging customers exorbitant prices.</w:t>
      </w:r>
    </w:p>
    <w:p w14:paraId="7DDFD06D" w14:textId="77777777" w:rsidR="00830F71" w:rsidRDefault="00830F71" w:rsidP="00067E30">
      <w:pPr>
        <w:spacing w:after="0" w:line="240" w:lineRule="auto"/>
        <w:contextualSpacing/>
        <w:rPr>
          <w:sz w:val="24"/>
          <w:szCs w:val="24"/>
        </w:rPr>
      </w:pPr>
    </w:p>
    <w:p w14:paraId="70374702" w14:textId="77777777" w:rsidR="00FF5611" w:rsidRDefault="00830F71">
      <w:pPr>
        <w:spacing w:after="0" w:line="240" w:lineRule="auto"/>
        <w:contextualSpacing/>
        <w:rPr>
          <w:b/>
          <w:sz w:val="24"/>
          <w:szCs w:val="24"/>
        </w:rPr>
      </w:pPr>
      <w:r w:rsidRPr="00316E8E">
        <w:rPr>
          <w:b/>
          <w:sz w:val="24"/>
          <w:szCs w:val="24"/>
        </w:rPr>
        <w:t>Media Contact:</w:t>
      </w:r>
    </w:p>
    <w:p w14:paraId="6C5AB697" w14:textId="14BE6C76" w:rsidR="00FF5611" w:rsidRDefault="00830F71">
      <w:pPr>
        <w:spacing w:after="0" w:line="240" w:lineRule="auto"/>
        <w:contextualSpacing/>
        <w:rPr>
          <w:b/>
          <w:sz w:val="24"/>
          <w:szCs w:val="24"/>
        </w:rPr>
      </w:pPr>
      <w:r w:rsidRPr="00316E8E">
        <w:rPr>
          <w:b/>
          <w:sz w:val="24"/>
          <w:szCs w:val="24"/>
        </w:rPr>
        <w:t xml:space="preserve">Ron Eckstein, Communications Director </w:t>
      </w:r>
    </w:p>
    <w:p w14:paraId="21026F02" w14:textId="77777777" w:rsidR="00FF5611" w:rsidRDefault="00980AAE">
      <w:pPr>
        <w:spacing w:after="0" w:line="240" w:lineRule="auto"/>
        <w:contextualSpacing/>
        <w:rPr>
          <w:b/>
          <w:sz w:val="24"/>
          <w:szCs w:val="24"/>
        </w:rPr>
      </w:pPr>
      <w:hyperlink r:id="rId33" w:history="1">
        <w:r w:rsidR="00830F71" w:rsidRPr="00316E8E">
          <w:rPr>
            <w:rStyle w:val="Hyperlink"/>
            <w:b/>
            <w:sz w:val="24"/>
            <w:szCs w:val="24"/>
          </w:rPr>
          <w:t>reckstein@americansfortaxfairness.org</w:t>
        </w:r>
      </w:hyperlink>
    </w:p>
    <w:p w14:paraId="6C51DB2E" w14:textId="68539A98" w:rsidR="00566738" w:rsidRPr="00316E8E" w:rsidRDefault="00830F71">
      <w:pPr>
        <w:spacing w:after="0" w:line="240" w:lineRule="auto"/>
        <w:contextualSpacing/>
        <w:rPr>
          <w:b/>
          <w:sz w:val="24"/>
          <w:szCs w:val="24"/>
        </w:rPr>
      </w:pPr>
      <w:r w:rsidRPr="00316E8E">
        <w:rPr>
          <w:b/>
          <w:sz w:val="24"/>
          <w:szCs w:val="24"/>
        </w:rPr>
        <w:t>917-921-121</w:t>
      </w:r>
      <w:r w:rsidR="00C1304B" w:rsidRPr="00067E30">
        <w:rPr>
          <w:b/>
          <w:sz w:val="24"/>
          <w:szCs w:val="24"/>
        </w:rPr>
        <w:t>2</w:t>
      </w:r>
    </w:p>
    <w:sectPr w:rsidR="00566738" w:rsidRPr="00316E8E" w:rsidSect="00316E8E">
      <w:footerReference w:type="default" r:id="rId34"/>
      <w:pgSz w:w="12240" w:h="15840"/>
      <w:pgMar w:top="1440" w:right="1440" w:bottom="1008" w:left="1440" w:header="720" w:footer="28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A48B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6A09D" w14:textId="77777777" w:rsidR="00980AAE" w:rsidRDefault="00980AAE" w:rsidP="009513D1">
      <w:pPr>
        <w:spacing w:after="0" w:line="240" w:lineRule="auto"/>
      </w:pPr>
      <w:r>
        <w:separator/>
      </w:r>
    </w:p>
  </w:endnote>
  <w:endnote w:type="continuationSeparator" w:id="0">
    <w:p w14:paraId="5F6AEB44" w14:textId="77777777" w:rsidR="00980AAE" w:rsidRDefault="00980AAE" w:rsidP="0095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Next-Demi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821615"/>
      <w:docPartObj>
        <w:docPartGallery w:val="Page Numbers (Bottom of Page)"/>
        <w:docPartUnique/>
      </w:docPartObj>
    </w:sdtPr>
    <w:sdtEndPr/>
    <w:sdtContent>
      <w:sdt>
        <w:sdtPr>
          <w:id w:val="1728636285"/>
          <w:docPartObj>
            <w:docPartGallery w:val="Page Numbers (Top of Page)"/>
            <w:docPartUnique/>
          </w:docPartObj>
        </w:sdtPr>
        <w:sdtEndPr/>
        <w:sdtContent>
          <w:p w14:paraId="656856CF" w14:textId="7932C119" w:rsidR="00665873" w:rsidRDefault="0066587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F6C3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6C36">
              <w:rPr>
                <w:b/>
                <w:bCs/>
                <w:noProof/>
              </w:rPr>
              <w:t>4</w:t>
            </w:r>
            <w:r>
              <w:rPr>
                <w:b/>
                <w:bCs/>
                <w:sz w:val="24"/>
                <w:szCs w:val="24"/>
              </w:rPr>
              <w:fldChar w:fldCharType="end"/>
            </w:r>
          </w:p>
        </w:sdtContent>
      </w:sdt>
    </w:sdtContent>
  </w:sdt>
  <w:p w14:paraId="6ED73FCD" w14:textId="77777777" w:rsidR="00665873" w:rsidRDefault="00665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0F5DF" w14:textId="77777777" w:rsidR="00980AAE" w:rsidRDefault="00980AAE" w:rsidP="009513D1">
      <w:pPr>
        <w:spacing w:after="0" w:line="240" w:lineRule="auto"/>
      </w:pPr>
      <w:r>
        <w:separator/>
      </w:r>
    </w:p>
  </w:footnote>
  <w:footnote w:type="continuationSeparator" w:id="0">
    <w:p w14:paraId="14555C49" w14:textId="77777777" w:rsidR="00980AAE" w:rsidRDefault="00980AAE" w:rsidP="009513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54E94"/>
    <w:multiLevelType w:val="hybridMultilevel"/>
    <w:tmpl w:val="49CC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8A7559"/>
    <w:multiLevelType w:val="hybridMultilevel"/>
    <w:tmpl w:val="59A45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n Eckstein">
    <w15:presenceInfo w15:providerId="Windows Live" w15:userId="8ecdac1cce3d8e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738"/>
    <w:rsid w:val="00001DBC"/>
    <w:rsid w:val="00003958"/>
    <w:rsid w:val="00005081"/>
    <w:rsid w:val="000207C2"/>
    <w:rsid w:val="00067E30"/>
    <w:rsid w:val="00071424"/>
    <w:rsid w:val="00077269"/>
    <w:rsid w:val="00094400"/>
    <w:rsid w:val="000E11EF"/>
    <w:rsid w:val="00116169"/>
    <w:rsid w:val="00132F84"/>
    <w:rsid w:val="001D1C24"/>
    <w:rsid w:val="002B3F2B"/>
    <w:rsid w:val="002E10C9"/>
    <w:rsid w:val="002F0AF2"/>
    <w:rsid w:val="002F3AD3"/>
    <w:rsid w:val="0030116F"/>
    <w:rsid w:val="00316E8E"/>
    <w:rsid w:val="00331B73"/>
    <w:rsid w:val="00336617"/>
    <w:rsid w:val="003766D6"/>
    <w:rsid w:val="00385E07"/>
    <w:rsid w:val="003A412B"/>
    <w:rsid w:val="003B4EA9"/>
    <w:rsid w:val="003C7AE8"/>
    <w:rsid w:val="003E4B1D"/>
    <w:rsid w:val="00427630"/>
    <w:rsid w:val="00433446"/>
    <w:rsid w:val="00447A65"/>
    <w:rsid w:val="00457E47"/>
    <w:rsid w:val="004D6BDD"/>
    <w:rsid w:val="00510299"/>
    <w:rsid w:val="00533FFC"/>
    <w:rsid w:val="00566738"/>
    <w:rsid w:val="005743D0"/>
    <w:rsid w:val="005C74CD"/>
    <w:rsid w:val="005E0CE8"/>
    <w:rsid w:val="005F6C36"/>
    <w:rsid w:val="00665873"/>
    <w:rsid w:val="0068456B"/>
    <w:rsid w:val="00691C4C"/>
    <w:rsid w:val="00762FF2"/>
    <w:rsid w:val="007856D5"/>
    <w:rsid w:val="007B03E4"/>
    <w:rsid w:val="007C52E0"/>
    <w:rsid w:val="007C689E"/>
    <w:rsid w:val="007D1741"/>
    <w:rsid w:val="00830F71"/>
    <w:rsid w:val="0085688C"/>
    <w:rsid w:val="00882A22"/>
    <w:rsid w:val="008B713E"/>
    <w:rsid w:val="008E7505"/>
    <w:rsid w:val="008F45AF"/>
    <w:rsid w:val="009110E5"/>
    <w:rsid w:val="009513D1"/>
    <w:rsid w:val="00980AAE"/>
    <w:rsid w:val="00985C0D"/>
    <w:rsid w:val="009B4816"/>
    <w:rsid w:val="009B740A"/>
    <w:rsid w:val="00A64714"/>
    <w:rsid w:val="00A65694"/>
    <w:rsid w:val="00B23ED7"/>
    <w:rsid w:val="00B33BCB"/>
    <w:rsid w:val="00B4661E"/>
    <w:rsid w:val="00B47A0D"/>
    <w:rsid w:val="00B64964"/>
    <w:rsid w:val="00B933DE"/>
    <w:rsid w:val="00BE140B"/>
    <w:rsid w:val="00C0655E"/>
    <w:rsid w:val="00C1304B"/>
    <w:rsid w:val="00C13EB4"/>
    <w:rsid w:val="00C27625"/>
    <w:rsid w:val="00C65A62"/>
    <w:rsid w:val="00C94906"/>
    <w:rsid w:val="00CA5ECD"/>
    <w:rsid w:val="00CB7E3F"/>
    <w:rsid w:val="00CC32AB"/>
    <w:rsid w:val="00CD55A7"/>
    <w:rsid w:val="00D02AC4"/>
    <w:rsid w:val="00D5192A"/>
    <w:rsid w:val="00D728BC"/>
    <w:rsid w:val="00DE332F"/>
    <w:rsid w:val="00E8287D"/>
    <w:rsid w:val="00E92211"/>
    <w:rsid w:val="00E96721"/>
    <w:rsid w:val="00EE4E0B"/>
    <w:rsid w:val="00F00939"/>
    <w:rsid w:val="00F15AB7"/>
    <w:rsid w:val="00F84391"/>
    <w:rsid w:val="00FB55E2"/>
    <w:rsid w:val="00FD627A"/>
    <w:rsid w:val="00FF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F5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3D1"/>
  </w:style>
  <w:style w:type="paragraph" w:styleId="Footer">
    <w:name w:val="footer"/>
    <w:basedOn w:val="Normal"/>
    <w:link w:val="FooterChar"/>
    <w:uiPriority w:val="99"/>
    <w:unhideWhenUsed/>
    <w:rsid w:val="00951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3D1"/>
  </w:style>
  <w:style w:type="character" w:styleId="Hyperlink">
    <w:name w:val="Hyperlink"/>
    <w:basedOn w:val="DefaultParagraphFont"/>
    <w:uiPriority w:val="99"/>
    <w:unhideWhenUsed/>
    <w:rsid w:val="00C27625"/>
    <w:rPr>
      <w:color w:val="0563C1" w:themeColor="hyperlink"/>
      <w:u w:val="single"/>
    </w:rPr>
  </w:style>
  <w:style w:type="paragraph" w:styleId="EndnoteText">
    <w:name w:val="endnote text"/>
    <w:basedOn w:val="Normal"/>
    <w:link w:val="EndnoteTextChar"/>
    <w:uiPriority w:val="99"/>
    <w:rsid w:val="00E92211"/>
    <w:pPr>
      <w:spacing w:after="0" w:line="240" w:lineRule="auto"/>
    </w:pPr>
    <w:rPr>
      <w:rFonts w:ascii="Calibri" w:eastAsia="Times New Roman" w:hAnsi="Calibri" w:cs="Calibri"/>
      <w:sz w:val="20"/>
      <w:szCs w:val="20"/>
    </w:rPr>
  </w:style>
  <w:style w:type="character" w:customStyle="1" w:styleId="EndnoteTextChar">
    <w:name w:val="Endnote Text Char"/>
    <w:basedOn w:val="DefaultParagraphFont"/>
    <w:link w:val="EndnoteText"/>
    <w:uiPriority w:val="99"/>
    <w:rsid w:val="00E92211"/>
    <w:rPr>
      <w:rFonts w:ascii="Calibri" w:eastAsia="Times New Roman" w:hAnsi="Calibri" w:cs="Calibri"/>
      <w:sz w:val="20"/>
      <w:szCs w:val="20"/>
    </w:rPr>
  </w:style>
  <w:style w:type="character" w:styleId="EndnoteReference">
    <w:name w:val="endnote reference"/>
    <w:basedOn w:val="DefaultParagraphFont"/>
    <w:uiPriority w:val="99"/>
    <w:semiHidden/>
    <w:rsid w:val="00E92211"/>
    <w:rPr>
      <w:vertAlign w:val="superscript"/>
    </w:rPr>
  </w:style>
  <w:style w:type="paragraph" w:styleId="BalloonText">
    <w:name w:val="Balloon Text"/>
    <w:basedOn w:val="Normal"/>
    <w:link w:val="BalloonTextChar"/>
    <w:uiPriority w:val="99"/>
    <w:semiHidden/>
    <w:unhideWhenUsed/>
    <w:rsid w:val="00E92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211"/>
    <w:rPr>
      <w:rFonts w:ascii="Tahoma" w:hAnsi="Tahoma" w:cs="Tahoma"/>
      <w:sz w:val="16"/>
      <w:szCs w:val="16"/>
    </w:rPr>
  </w:style>
  <w:style w:type="character" w:styleId="CommentReference">
    <w:name w:val="annotation reference"/>
    <w:basedOn w:val="DefaultParagraphFont"/>
    <w:uiPriority w:val="99"/>
    <w:semiHidden/>
    <w:unhideWhenUsed/>
    <w:rsid w:val="007B03E4"/>
    <w:rPr>
      <w:sz w:val="16"/>
      <w:szCs w:val="16"/>
    </w:rPr>
  </w:style>
  <w:style w:type="paragraph" w:styleId="CommentText">
    <w:name w:val="annotation text"/>
    <w:basedOn w:val="Normal"/>
    <w:link w:val="CommentTextChar"/>
    <w:uiPriority w:val="99"/>
    <w:semiHidden/>
    <w:unhideWhenUsed/>
    <w:rsid w:val="007B03E4"/>
    <w:pPr>
      <w:spacing w:line="240" w:lineRule="auto"/>
    </w:pPr>
    <w:rPr>
      <w:sz w:val="20"/>
      <w:szCs w:val="20"/>
    </w:rPr>
  </w:style>
  <w:style w:type="character" w:customStyle="1" w:styleId="CommentTextChar">
    <w:name w:val="Comment Text Char"/>
    <w:basedOn w:val="DefaultParagraphFont"/>
    <w:link w:val="CommentText"/>
    <w:uiPriority w:val="99"/>
    <w:semiHidden/>
    <w:rsid w:val="007B03E4"/>
    <w:rPr>
      <w:sz w:val="20"/>
      <w:szCs w:val="20"/>
    </w:rPr>
  </w:style>
  <w:style w:type="paragraph" w:styleId="CommentSubject">
    <w:name w:val="annotation subject"/>
    <w:basedOn w:val="CommentText"/>
    <w:next w:val="CommentText"/>
    <w:link w:val="CommentSubjectChar"/>
    <w:uiPriority w:val="99"/>
    <w:semiHidden/>
    <w:unhideWhenUsed/>
    <w:rsid w:val="007B03E4"/>
    <w:rPr>
      <w:b/>
      <w:bCs/>
    </w:rPr>
  </w:style>
  <w:style w:type="character" w:customStyle="1" w:styleId="CommentSubjectChar">
    <w:name w:val="Comment Subject Char"/>
    <w:basedOn w:val="CommentTextChar"/>
    <w:link w:val="CommentSubject"/>
    <w:uiPriority w:val="99"/>
    <w:semiHidden/>
    <w:rsid w:val="007B03E4"/>
    <w:rPr>
      <w:b/>
      <w:bCs/>
      <w:sz w:val="20"/>
      <w:szCs w:val="20"/>
    </w:rPr>
  </w:style>
  <w:style w:type="paragraph" w:styleId="Revision">
    <w:name w:val="Revision"/>
    <w:hidden/>
    <w:uiPriority w:val="99"/>
    <w:semiHidden/>
    <w:rsid w:val="007B03E4"/>
    <w:pPr>
      <w:spacing w:after="0" w:line="240" w:lineRule="auto"/>
    </w:pPr>
  </w:style>
  <w:style w:type="paragraph" w:styleId="ListParagraph">
    <w:name w:val="List Paragraph"/>
    <w:basedOn w:val="Normal"/>
    <w:uiPriority w:val="34"/>
    <w:qFormat/>
    <w:rsid w:val="00CC32AB"/>
    <w:pPr>
      <w:spacing w:after="0" w:line="240" w:lineRule="auto"/>
      <w:ind w:left="720"/>
      <w:contextualSpacing/>
    </w:pPr>
  </w:style>
  <w:style w:type="paragraph" w:styleId="NormalWeb">
    <w:name w:val="Normal (Web)"/>
    <w:basedOn w:val="Normal"/>
    <w:uiPriority w:val="99"/>
    <w:unhideWhenUsed/>
    <w:rsid w:val="00CC32AB"/>
    <w:pPr>
      <w:spacing w:before="100" w:beforeAutospacing="1" w:after="100" w:afterAutospacing="1" w:line="240" w:lineRule="auto"/>
    </w:pPr>
    <w:rPr>
      <w:rFonts w:ascii="Times New Roman" w:hAnsi="Times New Roman" w:cs="Times New Roman"/>
      <w:sz w:val="24"/>
      <w:szCs w:val="24"/>
    </w:rPr>
  </w:style>
  <w:style w:type="paragraph" w:styleId="NoSpacing">
    <w:name w:val="No Spacing"/>
    <w:basedOn w:val="Normal"/>
    <w:uiPriority w:val="1"/>
    <w:qFormat/>
    <w:rsid w:val="00CC32AB"/>
    <w:pPr>
      <w:widowControl w:val="0"/>
      <w:autoSpaceDE w:val="0"/>
      <w:autoSpaceDN w:val="0"/>
      <w:adjustRightInd w:val="0"/>
      <w:spacing w:after="0" w:line="240" w:lineRule="auto"/>
    </w:pPr>
    <w:rPr>
      <w:rFonts w:cs="Arial"/>
      <w:b/>
      <w:color w:val="1A1A1A"/>
      <w:sz w:val="24"/>
      <w:szCs w:val="24"/>
    </w:rPr>
  </w:style>
  <w:style w:type="character" w:styleId="FollowedHyperlink">
    <w:name w:val="FollowedHyperlink"/>
    <w:basedOn w:val="DefaultParagraphFont"/>
    <w:uiPriority w:val="99"/>
    <w:semiHidden/>
    <w:unhideWhenUsed/>
    <w:rsid w:val="003A412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3D1"/>
  </w:style>
  <w:style w:type="paragraph" w:styleId="Footer">
    <w:name w:val="footer"/>
    <w:basedOn w:val="Normal"/>
    <w:link w:val="FooterChar"/>
    <w:uiPriority w:val="99"/>
    <w:unhideWhenUsed/>
    <w:rsid w:val="00951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3D1"/>
  </w:style>
  <w:style w:type="character" w:styleId="Hyperlink">
    <w:name w:val="Hyperlink"/>
    <w:basedOn w:val="DefaultParagraphFont"/>
    <w:uiPriority w:val="99"/>
    <w:unhideWhenUsed/>
    <w:rsid w:val="00C27625"/>
    <w:rPr>
      <w:color w:val="0563C1" w:themeColor="hyperlink"/>
      <w:u w:val="single"/>
    </w:rPr>
  </w:style>
  <w:style w:type="paragraph" w:styleId="EndnoteText">
    <w:name w:val="endnote text"/>
    <w:basedOn w:val="Normal"/>
    <w:link w:val="EndnoteTextChar"/>
    <w:uiPriority w:val="99"/>
    <w:rsid w:val="00E92211"/>
    <w:pPr>
      <w:spacing w:after="0" w:line="240" w:lineRule="auto"/>
    </w:pPr>
    <w:rPr>
      <w:rFonts w:ascii="Calibri" w:eastAsia="Times New Roman" w:hAnsi="Calibri" w:cs="Calibri"/>
      <w:sz w:val="20"/>
      <w:szCs w:val="20"/>
    </w:rPr>
  </w:style>
  <w:style w:type="character" w:customStyle="1" w:styleId="EndnoteTextChar">
    <w:name w:val="Endnote Text Char"/>
    <w:basedOn w:val="DefaultParagraphFont"/>
    <w:link w:val="EndnoteText"/>
    <w:uiPriority w:val="99"/>
    <w:rsid w:val="00E92211"/>
    <w:rPr>
      <w:rFonts w:ascii="Calibri" w:eastAsia="Times New Roman" w:hAnsi="Calibri" w:cs="Calibri"/>
      <w:sz w:val="20"/>
      <w:szCs w:val="20"/>
    </w:rPr>
  </w:style>
  <w:style w:type="character" w:styleId="EndnoteReference">
    <w:name w:val="endnote reference"/>
    <w:basedOn w:val="DefaultParagraphFont"/>
    <w:uiPriority w:val="99"/>
    <w:semiHidden/>
    <w:rsid w:val="00E92211"/>
    <w:rPr>
      <w:vertAlign w:val="superscript"/>
    </w:rPr>
  </w:style>
  <w:style w:type="paragraph" w:styleId="BalloonText">
    <w:name w:val="Balloon Text"/>
    <w:basedOn w:val="Normal"/>
    <w:link w:val="BalloonTextChar"/>
    <w:uiPriority w:val="99"/>
    <w:semiHidden/>
    <w:unhideWhenUsed/>
    <w:rsid w:val="00E92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211"/>
    <w:rPr>
      <w:rFonts w:ascii="Tahoma" w:hAnsi="Tahoma" w:cs="Tahoma"/>
      <w:sz w:val="16"/>
      <w:szCs w:val="16"/>
    </w:rPr>
  </w:style>
  <w:style w:type="character" w:styleId="CommentReference">
    <w:name w:val="annotation reference"/>
    <w:basedOn w:val="DefaultParagraphFont"/>
    <w:uiPriority w:val="99"/>
    <w:semiHidden/>
    <w:unhideWhenUsed/>
    <w:rsid w:val="007B03E4"/>
    <w:rPr>
      <w:sz w:val="16"/>
      <w:szCs w:val="16"/>
    </w:rPr>
  </w:style>
  <w:style w:type="paragraph" w:styleId="CommentText">
    <w:name w:val="annotation text"/>
    <w:basedOn w:val="Normal"/>
    <w:link w:val="CommentTextChar"/>
    <w:uiPriority w:val="99"/>
    <w:semiHidden/>
    <w:unhideWhenUsed/>
    <w:rsid w:val="007B03E4"/>
    <w:pPr>
      <w:spacing w:line="240" w:lineRule="auto"/>
    </w:pPr>
    <w:rPr>
      <w:sz w:val="20"/>
      <w:szCs w:val="20"/>
    </w:rPr>
  </w:style>
  <w:style w:type="character" w:customStyle="1" w:styleId="CommentTextChar">
    <w:name w:val="Comment Text Char"/>
    <w:basedOn w:val="DefaultParagraphFont"/>
    <w:link w:val="CommentText"/>
    <w:uiPriority w:val="99"/>
    <w:semiHidden/>
    <w:rsid w:val="007B03E4"/>
    <w:rPr>
      <w:sz w:val="20"/>
      <w:szCs w:val="20"/>
    </w:rPr>
  </w:style>
  <w:style w:type="paragraph" w:styleId="CommentSubject">
    <w:name w:val="annotation subject"/>
    <w:basedOn w:val="CommentText"/>
    <w:next w:val="CommentText"/>
    <w:link w:val="CommentSubjectChar"/>
    <w:uiPriority w:val="99"/>
    <w:semiHidden/>
    <w:unhideWhenUsed/>
    <w:rsid w:val="007B03E4"/>
    <w:rPr>
      <w:b/>
      <w:bCs/>
    </w:rPr>
  </w:style>
  <w:style w:type="character" w:customStyle="1" w:styleId="CommentSubjectChar">
    <w:name w:val="Comment Subject Char"/>
    <w:basedOn w:val="CommentTextChar"/>
    <w:link w:val="CommentSubject"/>
    <w:uiPriority w:val="99"/>
    <w:semiHidden/>
    <w:rsid w:val="007B03E4"/>
    <w:rPr>
      <w:b/>
      <w:bCs/>
      <w:sz w:val="20"/>
      <w:szCs w:val="20"/>
    </w:rPr>
  </w:style>
  <w:style w:type="paragraph" w:styleId="Revision">
    <w:name w:val="Revision"/>
    <w:hidden/>
    <w:uiPriority w:val="99"/>
    <w:semiHidden/>
    <w:rsid w:val="007B03E4"/>
    <w:pPr>
      <w:spacing w:after="0" w:line="240" w:lineRule="auto"/>
    </w:pPr>
  </w:style>
  <w:style w:type="paragraph" w:styleId="ListParagraph">
    <w:name w:val="List Paragraph"/>
    <w:basedOn w:val="Normal"/>
    <w:uiPriority w:val="34"/>
    <w:qFormat/>
    <w:rsid w:val="00CC32AB"/>
    <w:pPr>
      <w:spacing w:after="0" w:line="240" w:lineRule="auto"/>
      <w:ind w:left="720"/>
      <w:contextualSpacing/>
    </w:pPr>
  </w:style>
  <w:style w:type="paragraph" w:styleId="NormalWeb">
    <w:name w:val="Normal (Web)"/>
    <w:basedOn w:val="Normal"/>
    <w:uiPriority w:val="99"/>
    <w:unhideWhenUsed/>
    <w:rsid w:val="00CC32AB"/>
    <w:pPr>
      <w:spacing w:before="100" w:beforeAutospacing="1" w:after="100" w:afterAutospacing="1" w:line="240" w:lineRule="auto"/>
    </w:pPr>
    <w:rPr>
      <w:rFonts w:ascii="Times New Roman" w:hAnsi="Times New Roman" w:cs="Times New Roman"/>
      <w:sz w:val="24"/>
      <w:szCs w:val="24"/>
    </w:rPr>
  </w:style>
  <w:style w:type="paragraph" w:styleId="NoSpacing">
    <w:name w:val="No Spacing"/>
    <w:basedOn w:val="Normal"/>
    <w:uiPriority w:val="1"/>
    <w:qFormat/>
    <w:rsid w:val="00CC32AB"/>
    <w:pPr>
      <w:widowControl w:val="0"/>
      <w:autoSpaceDE w:val="0"/>
      <w:autoSpaceDN w:val="0"/>
      <w:adjustRightInd w:val="0"/>
      <w:spacing w:after="0" w:line="240" w:lineRule="auto"/>
    </w:pPr>
    <w:rPr>
      <w:rFonts w:cs="Arial"/>
      <w:b/>
      <w:color w:val="1A1A1A"/>
      <w:sz w:val="24"/>
      <w:szCs w:val="24"/>
    </w:rPr>
  </w:style>
  <w:style w:type="character" w:styleId="FollowedHyperlink">
    <w:name w:val="FollowedHyperlink"/>
    <w:basedOn w:val="DefaultParagraphFont"/>
    <w:uiPriority w:val="99"/>
    <w:semiHidden/>
    <w:unhideWhenUsed/>
    <w:rsid w:val="003A41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2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gstory.ap.org/article/86d89df7484141c281e773cdc20dbadf/tax-group-blasts-pfizer-urges-stop-its-tax-cutting-deal" TargetMode="External"/><Relationship Id="rId18" Type="http://schemas.openxmlformats.org/officeDocument/2006/relationships/hyperlink" Target="http://www.nytimes.com/2015/11/15/your-money/a-tax-cutting-move-that-pfizer-can-hardly-resist.html?_r=4&amp;mtrref=undefined&amp;gwh=4C60BD93B8F0B53F17F3BD9539DC3FFF&amp;gwt=pay" TargetMode="External"/><Relationship Id="rId26" Type="http://schemas.openxmlformats.org/officeDocument/2006/relationships/hyperlink" Target="https://www.law.cornell.edu/uscode/text/26/7874" TargetMode="External"/><Relationship Id="rId3" Type="http://schemas.microsoft.com/office/2007/relationships/stylesWithEffects" Target="stylesWithEffects.xml"/><Relationship Id="rId21" Type="http://schemas.openxmlformats.org/officeDocument/2006/relationships/hyperlink" Target="http://www.wsj.com/articles/johnson-controls-tyco-to-merge-in-inversion-deal-1453724828"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mericansfortaxfairness.org/files/Pfizer-report-FINAL-for-WEB.pdf" TargetMode="External"/><Relationship Id="rId17" Type="http://schemas.openxmlformats.org/officeDocument/2006/relationships/hyperlink" Target="http://www.nytimes.com/2016/03/13/your-money/pfizers-eager-to-go-but-the-market-has-doubts.html?rref=collection%2Fcolumn%2Fbusiness-strategies&amp;_r=0" TargetMode="External"/><Relationship Id="rId25" Type="http://schemas.openxmlformats.org/officeDocument/2006/relationships/hyperlink" Target="https://www.law.cornell.edu/uscode/text/26/956" TargetMode="External"/><Relationship Id="rId33" Type="http://schemas.openxmlformats.org/officeDocument/2006/relationships/hyperlink" Target="mailto:reckstein@americansfortaxfairness.org" TargetMode="External"/><Relationship Id="rId38"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yperlink" Target="http://www.wsj.com/articles/sanders-urges-treasury-to-set-tax-restrictions-on-inversion-deals-1458316802?mod=ST1" TargetMode="External"/><Relationship Id="rId20" Type="http://schemas.openxmlformats.org/officeDocument/2006/relationships/hyperlink" Target="https://www.washingtonpost.com/news/wonk/wp/2015/11/23/pfizer-and-allergan-to-merge-in-160-billion-inversion/" TargetMode="External"/><Relationship Id="rId29" Type="http://schemas.openxmlformats.org/officeDocument/2006/relationships/hyperlink" Target="http://doggett.house.gov/images/DoggettMembersLettertoLew.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ortune.com/fortune500/" TargetMode="External"/><Relationship Id="rId24" Type="http://schemas.openxmlformats.org/officeDocument/2006/relationships/hyperlink" Target="https://www.treasury.gov/press-center/press-releases/Pages/jl0282.aspx" TargetMode="External"/><Relationship Id="rId32" Type="http://schemas.openxmlformats.org/officeDocument/2006/relationships/hyperlink" Target="http://www.wsj.com/articles/pfizer-piles-profits-abroad-1447031546?alg=y"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usatoday.com/story/money/2016/02/25/pfizer-tax-dodging-report/80937220/" TargetMode="External"/><Relationship Id="rId23" Type="http://schemas.openxmlformats.org/officeDocument/2006/relationships/hyperlink" Target="https://www.treasury.gov/press-center/press-releases/Pages/jl2647.aspx" TargetMode="External"/><Relationship Id="rId28" Type="http://schemas.openxmlformats.org/officeDocument/2006/relationships/hyperlink" Target="https://dash.harvard.edu/bitstream/handle/1/25499324/Shay_Fleming_Peroni%20Treasury_s%20Unfinished%20Work%20on%20Corporate%20Expatriations%20150tn0933%5B1%5D.pdf?sequence=1" TargetMode="External"/><Relationship Id="rId36" Type="http://schemas.openxmlformats.org/officeDocument/2006/relationships/theme" Target="theme/theme1.xml"/><Relationship Id="rId10" Type="http://schemas.openxmlformats.org/officeDocument/2006/relationships/hyperlink" Target="http://www.pmlive.com/top_pharma_list/global_revenues" TargetMode="External"/><Relationship Id="rId19" Type="http://schemas.openxmlformats.org/officeDocument/2006/relationships/hyperlink" Target="https://www.treasury.gov/press-center/press-releases/Pages/jl2647.aspx" TargetMode="External"/><Relationship Id="rId31" Type="http://schemas.openxmlformats.org/officeDocument/2006/relationships/hyperlink" Target="http://www.americansfortaxfairness.org/files/Pfizer-report-FINAL-for-WEB.pdf" TargetMode="External"/><Relationship Id="rId4" Type="http://schemas.openxmlformats.org/officeDocument/2006/relationships/settings" Target="settings.xml"/><Relationship Id="rId9" Type="http://schemas.openxmlformats.org/officeDocument/2006/relationships/image" Target="file://localhost/2012:OTHERS/TaxFairness/1201:LOGO/logoFinal.jpg" TargetMode="External"/><Relationship Id="rId14" Type="http://schemas.openxmlformats.org/officeDocument/2006/relationships/hyperlink" Target="https://www.google.com/url?sa=t&amp;rct=j&amp;q=&amp;esrc=s&amp;source=web&amp;cd=1&amp;cad=rja&amp;uact=8&amp;ved=0ahUKEwjc7-iC1dPLAhUBRz4KHV38DYYQFggcMAA&amp;url=https%3A%2F%2Fwww.washingtonpost.com%2Fnews%2Fbusiness%2Fwp%2F2016%2F02%2F25%2Fgiving-up-its-u-s-citizenship-could-save-pfizer-35-billion-in-taxes%2F&amp;usg=AFQjCNEpNdLRsSUFy3Uinld59OG5QRgRtg&amp;sig2=WVRpY6c6CoeXT_tWzohFvg\" TargetMode="External"/><Relationship Id="rId22" Type="http://schemas.openxmlformats.org/officeDocument/2006/relationships/hyperlink" Target="https://www.washingtonpost.com/news/business/wp/2016/03/21/data-company-ihs-becomes-latest-to-give-up-u-s-citizenship-for-lower-taxes/" TargetMode="External"/><Relationship Id="rId27" Type="http://schemas.openxmlformats.org/officeDocument/2006/relationships/hyperlink" Target="http://www.wsj.com/articles/sanders-urges-treasury-to-set-tax-restrictions-on-inversion-deals-1458316802?mod=ST1%5d\" TargetMode="External"/><Relationship Id="rId30" Type="http://schemas.openxmlformats.org/officeDocument/2006/relationships/hyperlink" Target="http://www.americansfortaxfairness.org/atf-sign-on-letter-to-jack-lew-on-pfizer-merger/"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Eckstein</dc:creator>
  <cp:lastModifiedBy>Frank</cp:lastModifiedBy>
  <cp:revision>3</cp:revision>
  <cp:lastPrinted>2016-03-23T06:18:00Z</cp:lastPrinted>
  <dcterms:created xsi:type="dcterms:W3CDTF">2016-03-23T16:24:00Z</dcterms:created>
  <dcterms:modified xsi:type="dcterms:W3CDTF">2016-03-23T16:25:00Z</dcterms:modified>
</cp:coreProperties>
</file>